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840D" w14:textId="77777777" w:rsidR="00775577" w:rsidRDefault="00775577" w:rsidP="00775577">
      <w:pPr>
        <w:pStyle w:val="Heading1"/>
      </w:pPr>
      <w:r>
        <w:t>FTCH Representations</w:t>
      </w:r>
    </w:p>
    <w:p w14:paraId="46BF116B" w14:textId="4C14A129" w:rsidR="00C64FED" w:rsidRPr="00C64FED" w:rsidRDefault="00C64FED" w:rsidP="00F03556">
      <w:pPr>
        <w:rPr>
          <w:b/>
          <w:bCs/>
        </w:rPr>
      </w:pPr>
      <w:r w:rsidRPr="00C64FED">
        <w:rPr>
          <w:b/>
          <w:bCs/>
        </w:rPr>
        <w:t>These representations and responses are the views of the individuals and organisations responding to the statutory consultation and are not the views of the Council. The Council does not accept any liability or responsibility for the views expressed therein. These representations are published in accordance with the terms of the Asset Transfer Request (Procedure) (Scotland) Regulations 2016.</w:t>
      </w:r>
    </w:p>
    <w:p w14:paraId="0B950A55" w14:textId="77777777" w:rsidR="00C64FED" w:rsidRDefault="00C64FED" w:rsidP="00490012"/>
    <w:p w14:paraId="6307BD31" w14:textId="77777777" w:rsidR="00956117" w:rsidRDefault="00956117" w:rsidP="00490012"/>
    <w:p w14:paraId="186F296C" w14:textId="2B0C2285" w:rsidR="00490012" w:rsidRPr="00490012" w:rsidRDefault="00490012" w:rsidP="00490012">
      <w:r w:rsidRPr="00490012">
        <w:t>Dear Community Asset Transfer Team,</w:t>
      </w:r>
    </w:p>
    <w:p w14:paraId="7B94CAEE" w14:textId="77777777" w:rsidR="00490012" w:rsidRPr="00490012" w:rsidRDefault="00490012" w:rsidP="00490012"/>
    <w:p w14:paraId="4E302B0A" w14:textId="385646DB" w:rsidR="00490012" w:rsidRPr="00490012" w:rsidRDefault="00490012" w:rsidP="00490012">
      <w:r>
        <w:t>[REDACTED]</w:t>
      </w:r>
      <w:r w:rsidRPr="00490012">
        <w:t xml:space="preserve"> submits this formal representation to Falkirk</w:t>
      </w:r>
      <w:r>
        <w:t xml:space="preserve"> </w:t>
      </w:r>
      <w:r w:rsidRPr="00490012">
        <w:t>Council in response to the Community Asset Transfer (CAT) application submitted by Falkirk</w:t>
      </w:r>
      <w:r>
        <w:t xml:space="preserve"> </w:t>
      </w:r>
      <w:r w:rsidRPr="00490012">
        <w:t>Thornhill Community Hall SCIO (FTCH).</w:t>
      </w:r>
    </w:p>
    <w:p w14:paraId="28F00DAE" w14:textId="77777777" w:rsidR="00490012" w:rsidRPr="00490012" w:rsidRDefault="00490012" w:rsidP="00490012">
      <w:r w:rsidRPr="00490012">
        <w:t>Having carefully reviewed FTCH’s application, and drawing upon extensive documented experience during the shared licence period, we respectfully request that Falkirk Council reject FTCH’s CAT application on the basis of:</w:t>
      </w:r>
    </w:p>
    <w:p w14:paraId="1C498708" w14:textId="77777777" w:rsidR="00490012" w:rsidRPr="00490012" w:rsidRDefault="00490012" w:rsidP="00490012">
      <w:r w:rsidRPr="00490012">
        <w:t>1. demonstrable governance and operational risks,</w:t>
      </w:r>
    </w:p>
    <w:p w14:paraId="4BCE07EF" w14:textId="77777777" w:rsidR="00490012" w:rsidRPr="00490012" w:rsidRDefault="00490012" w:rsidP="00490012">
      <w:r w:rsidRPr="00490012">
        <w:t>2. inability to work collaboratively with partners,</w:t>
      </w:r>
    </w:p>
    <w:p w14:paraId="3A134759" w14:textId="77777777" w:rsidR="00490012" w:rsidRPr="00490012" w:rsidRDefault="00490012" w:rsidP="00490012">
      <w:r w:rsidRPr="00490012">
        <w:t>3. misleading projection of experience and continuity,</w:t>
      </w:r>
    </w:p>
    <w:p w14:paraId="10A4EDE9" w14:textId="77777777" w:rsidR="00490012" w:rsidRPr="00490012" w:rsidRDefault="00490012" w:rsidP="00490012">
      <w:r w:rsidRPr="00490012">
        <w:t>4. divisive public campaigning and misinformation,</w:t>
      </w:r>
    </w:p>
    <w:p w14:paraId="2247CF8D" w14:textId="77777777" w:rsidR="00490012" w:rsidRPr="00490012" w:rsidRDefault="00490012" w:rsidP="00490012">
      <w:r w:rsidRPr="00490012">
        <w:t>5. unrealistic development proposals and governance concerns,</w:t>
      </w:r>
    </w:p>
    <w:p w14:paraId="37F207C6" w14:textId="77777777" w:rsidR="00490012" w:rsidRPr="00490012" w:rsidRDefault="00490012" w:rsidP="00490012">
      <w:r w:rsidRPr="00490012">
        <w:t>6. misalignment with the principles of the Community Empowerment (Scotland) Act</w:t>
      </w:r>
    </w:p>
    <w:p w14:paraId="5B210F92" w14:textId="77777777" w:rsidR="00490012" w:rsidRPr="00490012" w:rsidRDefault="00490012" w:rsidP="00490012">
      <w:r w:rsidRPr="00490012">
        <w:t>2015, and</w:t>
      </w:r>
    </w:p>
    <w:p w14:paraId="1E5F294F" w14:textId="77777777" w:rsidR="00490012" w:rsidRPr="00490012" w:rsidRDefault="00490012" w:rsidP="00490012">
      <w:r w:rsidRPr="00490012">
        <w:t>7. clear and independent evidence that RMWG is better placed to deliver sustainable,</w:t>
      </w:r>
    </w:p>
    <w:p w14:paraId="43C08A4D" w14:textId="77777777" w:rsidR="00490012" w:rsidRPr="00490012" w:rsidRDefault="00490012" w:rsidP="00490012">
      <w:r w:rsidRPr="00490012">
        <w:t>inclusive, long-term community benefit.</w:t>
      </w:r>
    </w:p>
    <w:p w14:paraId="4C867434" w14:textId="77777777" w:rsidR="00490012" w:rsidRPr="00490012" w:rsidRDefault="00490012" w:rsidP="00490012"/>
    <w:p w14:paraId="70BAB903" w14:textId="3EA81E64" w:rsidR="00490012" w:rsidRPr="00490012" w:rsidRDefault="00490012" w:rsidP="00490012">
      <w:r w:rsidRPr="00490012">
        <w:t>This representation incorporates documented facts, direct correspondence between the</w:t>
      </w:r>
      <w:r>
        <w:t xml:space="preserve"> </w:t>
      </w:r>
      <w:r w:rsidRPr="00490012">
        <w:t>organisations, the public statement of former long-serving trustees of Thornhill Community</w:t>
      </w:r>
      <w:r>
        <w:t xml:space="preserve"> </w:t>
      </w:r>
      <w:r w:rsidRPr="00490012">
        <w:t>Hall, and the statutory principles that govern the CAT process.</w:t>
      </w:r>
    </w:p>
    <w:p w14:paraId="465889CC" w14:textId="77777777" w:rsidR="00490012" w:rsidRPr="00490012" w:rsidRDefault="00490012" w:rsidP="00490012"/>
    <w:p w14:paraId="4DAB2B8E" w14:textId="77777777" w:rsidR="00490012" w:rsidRPr="00490012" w:rsidRDefault="00490012" w:rsidP="00490012">
      <w:r w:rsidRPr="00490012">
        <w:lastRenderedPageBreak/>
        <w:t>1. Context: RMWG as Principal Licensee and Established Provider</w:t>
      </w:r>
    </w:p>
    <w:p w14:paraId="3AB2B543" w14:textId="77777777" w:rsidR="00490012" w:rsidRPr="00490012" w:rsidRDefault="00490012" w:rsidP="00490012"/>
    <w:p w14:paraId="74E09A89" w14:textId="77777777" w:rsidR="00490012" w:rsidRPr="00490012" w:rsidRDefault="00490012" w:rsidP="00490012">
      <w:r w:rsidRPr="00490012">
        <w:t>RMWG has been the principal licence holder since October 2025 and has ensured that</w:t>
      </w:r>
    </w:p>
    <w:p w14:paraId="679579BF" w14:textId="77777777" w:rsidR="00490012" w:rsidRPr="00490012" w:rsidRDefault="00490012" w:rsidP="00490012">
      <w:r w:rsidRPr="00490012">
        <w:t>Thornhill Community Centre remained open, functional, and inclusive throughout the</w:t>
      </w:r>
    </w:p>
    <w:p w14:paraId="6C6C7784" w14:textId="77777777" w:rsidR="00490012" w:rsidRPr="00490012" w:rsidRDefault="00490012" w:rsidP="00490012">
      <w:r w:rsidRPr="00490012">
        <w:t>transition period. Having served Falkirk for more than 20 years, RMWG has delivered</w:t>
      </w:r>
    </w:p>
    <w:p w14:paraId="1831E8B5" w14:textId="77777777" w:rsidR="00490012" w:rsidRPr="00490012" w:rsidRDefault="00490012" w:rsidP="00490012">
      <w:r w:rsidRPr="00490012">
        <w:t>wide-ranging community benefits including:</w:t>
      </w:r>
    </w:p>
    <w:p w14:paraId="4DB93501" w14:textId="77777777" w:rsidR="00490012" w:rsidRPr="00490012" w:rsidRDefault="00490012" w:rsidP="00490012">
      <w:r w:rsidRPr="00490012">
        <w:t>• wellbeing programmes,</w:t>
      </w:r>
    </w:p>
    <w:p w14:paraId="55334B9E" w14:textId="77777777" w:rsidR="00490012" w:rsidRPr="00490012" w:rsidRDefault="00490012" w:rsidP="00490012">
      <w:r w:rsidRPr="00490012">
        <w:t>• food and crisis support,</w:t>
      </w:r>
    </w:p>
    <w:p w14:paraId="2BE8C796" w14:textId="77777777" w:rsidR="00490012" w:rsidRPr="00490012" w:rsidRDefault="00490012" w:rsidP="00490012">
      <w:r w:rsidRPr="00490012">
        <w:t>• youth and family activities,</w:t>
      </w:r>
    </w:p>
    <w:p w14:paraId="1C3DA182" w14:textId="77777777" w:rsidR="00490012" w:rsidRPr="00490012" w:rsidRDefault="00490012" w:rsidP="00490012">
      <w:r w:rsidRPr="00490012">
        <w:t>• cultural cohesion work,</w:t>
      </w:r>
    </w:p>
    <w:p w14:paraId="0369ADCE" w14:textId="77777777" w:rsidR="00490012" w:rsidRPr="00490012" w:rsidRDefault="00490012" w:rsidP="00490012">
      <w:r w:rsidRPr="00490012">
        <w:t>• emergency humanitarian support (including COVID-19 partnerships),</w:t>
      </w:r>
    </w:p>
    <w:p w14:paraId="083D6672" w14:textId="77777777" w:rsidR="00490012" w:rsidRPr="00490012" w:rsidRDefault="00490012" w:rsidP="00490012">
      <w:r w:rsidRPr="00490012">
        <w:t>• and strong, established partnerships with the Council, NHS and local agencies.</w:t>
      </w:r>
    </w:p>
    <w:p w14:paraId="368FD624" w14:textId="77777777" w:rsidR="00490012" w:rsidRPr="00490012" w:rsidRDefault="00490012" w:rsidP="00490012"/>
    <w:p w14:paraId="57C676FB" w14:textId="460E66D5" w:rsidR="00490012" w:rsidRPr="00490012" w:rsidRDefault="00490012" w:rsidP="00490012">
      <w:r w:rsidRPr="00490012">
        <w:t>Our services have always been open to all and grounded in the ethos of inclusion, fairness,</w:t>
      </w:r>
      <w:r>
        <w:t xml:space="preserve"> </w:t>
      </w:r>
      <w:r w:rsidRPr="00490012">
        <w:t>and collaboration.</w:t>
      </w:r>
    </w:p>
    <w:p w14:paraId="73CF6C06" w14:textId="77777777" w:rsidR="00490012" w:rsidRPr="00490012" w:rsidRDefault="00490012" w:rsidP="00490012"/>
    <w:p w14:paraId="77701125" w14:textId="77777777" w:rsidR="00490012" w:rsidRPr="00490012" w:rsidRDefault="00490012" w:rsidP="00490012">
      <w:r w:rsidRPr="00490012">
        <w:t>2. FTCH’s Lack of Cooperation and Adversarial Conduct During Shared Occupancy</w:t>
      </w:r>
    </w:p>
    <w:p w14:paraId="214EB918" w14:textId="77777777" w:rsidR="00490012" w:rsidRPr="00490012" w:rsidRDefault="00490012" w:rsidP="00490012">
      <w:r w:rsidRPr="00490012">
        <w:t>From the outset of the sub-licence arrangement, RMWG undertook repeated, good-faith efforts to establish a cooperative working relationship with FTCH. These efforts were consistently met with resistance.</w:t>
      </w:r>
    </w:p>
    <w:p w14:paraId="641FA2E9" w14:textId="77777777" w:rsidR="00490012" w:rsidRPr="00490012" w:rsidRDefault="00490012" w:rsidP="00490012"/>
    <w:p w14:paraId="2CB9B2A4" w14:textId="77777777" w:rsidR="00490012" w:rsidRPr="00490012" w:rsidRDefault="00490012" w:rsidP="00490012">
      <w:r w:rsidRPr="00490012">
        <w:t>Documented correspondence shows:</w:t>
      </w:r>
    </w:p>
    <w:p w14:paraId="6B0709EE" w14:textId="77777777" w:rsidR="00490012" w:rsidRPr="00490012" w:rsidRDefault="00490012" w:rsidP="00490012">
      <w:r w:rsidRPr="00490012">
        <w:t>• FTCH declined multiple invitations to meet and agree operational protocols.</w:t>
      </w:r>
    </w:p>
    <w:p w14:paraId="0814CCD3" w14:textId="77777777" w:rsidR="00490012" w:rsidRPr="00490012" w:rsidRDefault="00490012" w:rsidP="00490012">
      <w:r w:rsidRPr="00490012">
        <w:t>• FTCH withheld basic operational knowledge despite previously managing the facility.</w:t>
      </w:r>
    </w:p>
    <w:p w14:paraId="21027AB8" w14:textId="77777777" w:rsidR="00490012" w:rsidRPr="00490012" w:rsidRDefault="00490012" w:rsidP="00490012">
      <w:r w:rsidRPr="00490012">
        <w:t>• FTCH adopted a combative approach, frequently escalating procedural matters</w:t>
      </w:r>
    </w:p>
    <w:p w14:paraId="772AA3EE" w14:textId="77777777" w:rsidR="00490012" w:rsidRPr="00490012" w:rsidRDefault="00490012" w:rsidP="00490012">
      <w:r w:rsidRPr="00490012">
        <w:t>instead of seeking resolution.</w:t>
      </w:r>
    </w:p>
    <w:p w14:paraId="39DFDF6B" w14:textId="77777777" w:rsidR="00490012" w:rsidRPr="00490012" w:rsidRDefault="00490012" w:rsidP="00490012">
      <w:r w:rsidRPr="00490012">
        <w:t>• FTCH referenced breach clauses at the earliest stages of transition, creating an</w:t>
      </w:r>
    </w:p>
    <w:p w14:paraId="5C8ACC62" w14:textId="77777777" w:rsidR="00490012" w:rsidRPr="00490012" w:rsidRDefault="00490012" w:rsidP="00490012">
      <w:r w:rsidRPr="00490012">
        <w:t>adversarial environment.</w:t>
      </w:r>
    </w:p>
    <w:p w14:paraId="53CFB480" w14:textId="77777777" w:rsidR="00490012" w:rsidRPr="00490012" w:rsidRDefault="00490012" w:rsidP="00490012">
      <w:r w:rsidRPr="00490012">
        <w:t>• FTCH communicated, within days of RMWG assuming responsibility, that RMWG</w:t>
      </w:r>
    </w:p>
    <w:p w14:paraId="624C77BA" w14:textId="77777777" w:rsidR="00490012" w:rsidRPr="00490012" w:rsidRDefault="00490012" w:rsidP="00490012">
      <w:r w:rsidRPr="00490012">
        <w:lastRenderedPageBreak/>
        <w:t>should “give notice” on its FRI licence so FTCH could resume control.</w:t>
      </w:r>
    </w:p>
    <w:p w14:paraId="2A9A039F" w14:textId="77777777" w:rsidR="00490012" w:rsidRPr="00490012" w:rsidRDefault="00490012" w:rsidP="00490012"/>
    <w:p w14:paraId="7189B78F" w14:textId="77777777" w:rsidR="00490012" w:rsidRPr="00490012" w:rsidRDefault="00490012" w:rsidP="00490012">
      <w:r w:rsidRPr="00490012">
        <w:t>This pattern is incompatible with the governance, partnership working and community-led ethos expected in the management of a public asset. </w:t>
      </w:r>
    </w:p>
    <w:p w14:paraId="4B53F01F" w14:textId="77777777" w:rsidR="00490012" w:rsidRPr="00490012" w:rsidRDefault="00490012" w:rsidP="00490012"/>
    <w:p w14:paraId="6E2FA2CF" w14:textId="77777777" w:rsidR="00490012" w:rsidRPr="00490012" w:rsidRDefault="00490012" w:rsidP="00490012">
      <w:r w:rsidRPr="00490012">
        <w:t>3. FTCH’s Campaigning Has Facilitated Misinformation and Community Division</w:t>
      </w:r>
    </w:p>
    <w:p w14:paraId="3485DF54" w14:textId="77777777" w:rsidR="00490012" w:rsidRPr="00490012" w:rsidRDefault="00490012" w:rsidP="00490012">
      <w:r w:rsidRPr="00490012">
        <w:t>RMWG formally reported multiple instances of hostile online narratives, including</w:t>
      </w:r>
    </w:p>
    <w:p w14:paraId="2B785599" w14:textId="598C7B89" w:rsidR="00490012" w:rsidRPr="00490012" w:rsidRDefault="00490012" w:rsidP="00490012">
      <w:r w:rsidRPr="00490012">
        <w:t>misinformation and discriminatory commentary. While FTCH did not author all such posts,</w:t>
      </w:r>
      <w:r>
        <w:t xml:space="preserve"> </w:t>
      </w:r>
      <w:r w:rsidRPr="00490012">
        <w:t>their public messaging and tone enabled a climate in which such narratives flourished.</w:t>
      </w:r>
    </w:p>
    <w:p w14:paraId="42789431" w14:textId="77777777" w:rsidR="00490012" w:rsidRPr="00490012" w:rsidRDefault="00490012" w:rsidP="00490012">
      <w:r w:rsidRPr="00490012">
        <w:t>This has:</w:t>
      </w:r>
    </w:p>
    <w:p w14:paraId="26D9EBD3" w14:textId="77777777" w:rsidR="00490012" w:rsidRPr="00490012" w:rsidRDefault="00490012" w:rsidP="00490012">
      <w:r w:rsidRPr="00490012">
        <w:t>• risked undermining the fairness and integrity of the CAT process,</w:t>
      </w:r>
    </w:p>
    <w:p w14:paraId="1138D732" w14:textId="77777777" w:rsidR="00490012" w:rsidRPr="00490012" w:rsidRDefault="00490012" w:rsidP="00490012">
      <w:r w:rsidRPr="00490012">
        <w:t>• contributed to community tension,</w:t>
      </w:r>
    </w:p>
    <w:p w14:paraId="4CA44EF6" w14:textId="77777777" w:rsidR="00490012" w:rsidRPr="00490012" w:rsidRDefault="00490012" w:rsidP="00490012">
      <w:r w:rsidRPr="00490012">
        <w:t>• impeded good relations between community groups,</w:t>
      </w:r>
    </w:p>
    <w:p w14:paraId="56761D3D" w14:textId="77777777" w:rsidR="00490012" w:rsidRPr="00490012" w:rsidRDefault="00490012" w:rsidP="00490012">
      <w:r w:rsidRPr="00490012">
        <w:t>• and created an environment contrary to the Public Sector Equality Duty.</w:t>
      </w:r>
    </w:p>
    <w:p w14:paraId="0C4CA041" w14:textId="77777777" w:rsidR="00490012" w:rsidRPr="00490012" w:rsidRDefault="00490012" w:rsidP="00490012"/>
    <w:p w14:paraId="72AC9116" w14:textId="77777777" w:rsidR="00490012" w:rsidRPr="00490012" w:rsidRDefault="00490012" w:rsidP="00490012">
      <w:r w:rsidRPr="00490012">
        <w:t>A successful CAT organisation must foster cohesion—not profit from division.</w:t>
      </w:r>
    </w:p>
    <w:p w14:paraId="6146F107" w14:textId="77777777" w:rsidR="00490012" w:rsidRPr="00490012" w:rsidRDefault="00490012" w:rsidP="00490012"/>
    <w:p w14:paraId="79997314" w14:textId="77777777" w:rsidR="00490012" w:rsidRPr="00490012" w:rsidRDefault="00490012" w:rsidP="00490012">
      <w:r w:rsidRPr="00490012">
        <w:t>4. Misrepresentation of Experience by FTCH’s Current Committee</w:t>
      </w:r>
    </w:p>
    <w:p w14:paraId="0EE0C8CB" w14:textId="77777777" w:rsidR="00490012" w:rsidRPr="00490012" w:rsidRDefault="00490012" w:rsidP="00490012"/>
    <w:p w14:paraId="6083D768" w14:textId="77777777" w:rsidR="00490012" w:rsidRPr="00490012" w:rsidRDefault="00490012" w:rsidP="00490012">
      <w:r w:rsidRPr="00490012">
        <w:t>The CAT application submitted by FTCH repeatedly suggests long-term stewardship of the centre.</w:t>
      </w:r>
    </w:p>
    <w:p w14:paraId="3CEB8B72" w14:textId="77777777" w:rsidR="00490012" w:rsidRPr="00490012" w:rsidRDefault="00490012" w:rsidP="00490012">
      <w:r w:rsidRPr="00490012">
        <w:t>This is factually incorrect.</w:t>
      </w:r>
    </w:p>
    <w:p w14:paraId="33516603" w14:textId="77777777" w:rsidR="00490012" w:rsidRPr="00490012" w:rsidRDefault="00490012" w:rsidP="00490012">
      <w:r w:rsidRPr="00490012">
        <w:t>As confirmed in writing by the former trustees and long-serving volunteers of Thornhill</w:t>
      </w:r>
    </w:p>
    <w:p w14:paraId="54C35383" w14:textId="77777777" w:rsidR="00490012" w:rsidRPr="00490012" w:rsidRDefault="00490012" w:rsidP="00490012">
      <w:r w:rsidRPr="00490012">
        <w:t>Community Hall—individuals who genuinely managed the venue for many years—the</w:t>
      </w:r>
    </w:p>
    <w:p w14:paraId="64679AEF" w14:textId="77777777" w:rsidR="00490012" w:rsidRPr="00490012" w:rsidRDefault="00490012" w:rsidP="00490012">
      <w:r w:rsidRPr="00490012">
        <w:t>current FTCH committee only assumed control in early 2025.</w:t>
      </w:r>
    </w:p>
    <w:p w14:paraId="75AFB490" w14:textId="77777777" w:rsidR="00490012" w:rsidRPr="00490012" w:rsidRDefault="00490012" w:rsidP="00490012">
      <w:r w:rsidRPr="00490012">
        <w:t>The former leadership team, who possess the true long-term operational experience, have:</w:t>
      </w:r>
    </w:p>
    <w:p w14:paraId="70AEEE2C" w14:textId="77777777" w:rsidR="00490012" w:rsidRPr="00490012" w:rsidRDefault="00490012" w:rsidP="00490012">
      <w:r w:rsidRPr="00490012">
        <w:t>• formally declared their full support for RMWG, and</w:t>
      </w:r>
    </w:p>
    <w:p w14:paraId="01F4038D" w14:textId="77777777" w:rsidR="00490012" w:rsidRPr="00490012" w:rsidRDefault="00490012" w:rsidP="00490012">
      <w:r w:rsidRPr="00490012">
        <w:lastRenderedPageBreak/>
        <w:t>• confirmed that FTCH’s current committee does not have the decade-long knowledge</w:t>
      </w:r>
    </w:p>
    <w:p w14:paraId="0938EB8D" w14:textId="77777777" w:rsidR="00490012" w:rsidRPr="00490012" w:rsidRDefault="00490012" w:rsidP="00490012">
      <w:r w:rsidRPr="00490012">
        <w:t>they imply.</w:t>
      </w:r>
    </w:p>
    <w:p w14:paraId="67B143F5" w14:textId="77777777" w:rsidR="00490012" w:rsidRPr="00490012" w:rsidRDefault="00490012" w:rsidP="00490012"/>
    <w:p w14:paraId="21D029FA" w14:textId="37BA2BD8" w:rsidR="00490012" w:rsidRPr="00490012" w:rsidRDefault="00490012" w:rsidP="00490012">
      <w:r w:rsidRPr="00490012">
        <w:t>FTCH’s application therefore rests significantly on an inflated projection of experience. This</w:t>
      </w:r>
      <w:r>
        <w:t xml:space="preserve"> </w:t>
      </w:r>
      <w:r w:rsidRPr="00490012">
        <w:t>raises material questions about transparency and governance.</w:t>
      </w:r>
    </w:p>
    <w:p w14:paraId="49E72D58" w14:textId="77777777" w:rsidR="00490012" w:rsidRPr="00490012" w:rsidRDefault="00490012" w:rsidP="00490012"/>
    <w:p w14:paraId="44C3546C" w14:textId="77777777" w:rsidR="00490012" w:rsidRPr="00490012" w:rsidRDefault="00490012" w:rsidP="00490012">
      <w:r w:rsidRPr="00490012">
        <w:t>5. Independent Testimony from Former Thornhill Trustees in Support of RMWG</w:t>
      </w:r>
    </w:p>
    <w:p w14:paraId="148A89B4" w14:textId="77777777" w:rsidR="00490012" w:rsidRPr="00490012" w:rsidRDefault="00490012" w:rsidP="00490012">
      <w:r w:rsidRPr="00490012">
        <w:t>The submission provided by the former trustees offers powerful, independent evidence.</w:t>
      </w:r>
    </w:p>
    <w:p w14:paraId="21D18965" w14:textId="77777777" w:rsidR="00490012" w:rsidRPr="00490012" w:rsidRDefault="00490012" w:rsidP="00490012">
      <w:r w:rsidRPr="00490012">
        <w:t>These individuals:</w:t>
      </w:r>
    </w:p>
    <w:p w14:paraId="7E90BAB5" w14:textId="77777777" w:rsidR="00490012" w:rsidRPr="00490012" w:rsidRDefault="00490012" w:rsidP="00490012">
      <w:r w:rsidRPr="00490012">
        <w:t>• bring deep knowledge of the hall’s operations, user groups, and challenges,</w:t>
      </w:r>
    </w:p>
    <w:p w14:paraId="1157BBDA" w14:textId="77777777" w:rsidR="00490012" w:rsidRPr="00490012" w:rsidRDefault="00490012" w:rsidP="00490012">
      <w:r w:rsidRPr="00490012">
        <w:t>• ran the centre successfully for many years,</w:t>
      </w:r>
    </w:p>
    <w:p w14:paraId="6DCE44AD" w14:textId="77777777" w:rsidR="00490012" w:rsidRPr="00490012" w:rsidRDefault="00490012" w:rsidP="00490012">
      <w:r w:rsidRPr="00490012">
        <w:t>• and understand precisely what is required to sustain it.</w:t>
      </w:r>
    </w:p>
    <w:p w14:paraId="1D2DA0AE" w14:textId="77777777" w:rsidR="00490012" w:rsidRPr="00490012" w:rsidRDefault="00490012" w:rsidP="00490012">
      <w:r w:rsidRPr="00490012">
        <w:t>Their letter states:</w:t>
      </w:r>
    </w:p>
    <w:p w14:paraId="7A79E230" w14:textId="77777777" w:rsidR="00490012" w:rsidRPr="00490012" w:rsidRDefault="00490012" w:rsidP="00490012">
      <w:r w:rsidRPr="00490012">
        <w:t>• RMWG is inclusive, calm, future-focused and community-centred.</w:t>
      </w:r>
    </w:p>
    <w:p w14:paraId="30E7475F" w14:textId="77777777" w:rsidR="00490012" w:rsidRPr="00490012" w:rsidRDefault="00490012" w:rsidP="00490012">
      <w:r w:rsidRPr="00490012">
        <w:t>• RMWG is the organisation most capable of maintaining continuity with minimal</w:t>
      </w:r>
    </w:p>
    <w:p w14:paraId="33A9CBC6" w14:textId="77777777" w:rsidR="00490012" w:rsidRPr="00490012" w:rsidRDefault="00490012" w:rsidP="00490012">
      <w:r w:rsidRPr="00490012">
        <w:t>disruption.</w:t>
      </w:r>
    </w:p>
    <w:p w14:paraId="13FB309E" w14:textId="77777777" w:rsidR="00490012" w:rsidRPr="00490012" w:rsidRDefault="00490012" w:rsidP="00490012">
      <w:r w:rsidRPr="00490012">
        <w:t>• RMWG has secured running costs, operational resilience, and proven community</w:t>
      </w:r>
    </w:p>
    <w:p w14:paraId="2684CE07" w14:textId="77777777" w:rsidR="00490012" w:rsidRPr="00490012" w:rsidRDefault="00490012" w:rsidP="00490012">
      <w:r w:rsidRPr="00490012">
        <w:t>delivery.</w:t>
      </w:r>
    </w:p>
    <w:p w14:paraId="4FE0B7F6" w14:textId="77777777" w:rsidR="00490012" w:rsidRPr="00490012" w:rsidRDefault="00490012" w:rsidP="00490012">
      <w:r w:rsidRPr="00490012">
        <w:t>• RMWG’s approach avoids hostility and encourages unity.</w:t>
      </w:r>
    </w:p>
    <w:p w14:paraId="7AFE34E6" w14:textId="77777777" w:rsidR="00490012" w:rsidRPr="00490012" w:rsidRDefault="00490012" w:rsidP="00490012">
      <w:r w:rsidRPr="00490012">
        <w:t>• They are disappointed by the false and divisive narratives circulating around FTCH’s</w:t>
      </w:r>
    </w:p>
    <w:p w14:paraId="05406846" w14:textId="77777777" w:rsidR="00490012" w:rsidRPr="00490012" w:rsidRDefault="00490012" w:rsidP="00490012">
      <w:r w:rsidRPr="00490012">
        <w:t>campaign.</w:t>
      </w:r>
    </w:p>
    <w:p w14:paraId="12ECFDB4" w14:textId="77777777" w:rsidR="00490012" w:rsidRPr="00490012" w:rsidRDefault="00490012" w:rsidP="00490012"/>
    <w:p w14:paraId="28CDA5AE" w14:textId="77777777" w:rsidR="00490012" w:rsidRPr="00490012" w:rsidRDefault="00490012" w:rsidP="00490012">
      <w:r w:rsidRPr="00490012">
        <w:t>Crucially, they emphasise that RMWG—not FTCH—is best placed to uphold the principles of the CAT process.</w:t>
      </w:r>
    </w:p>
    <w:p w14:paraId="7459BC08" w14:textId="77777777" w:rsidR="00490012" w:rsidRPr="00490012" w:rsidRDefault="00490012" w:rsidP="00490012">
      <w:r w:rsidRPr="00490012">
        <w:t>6. Guidance from the Community Empowerment (Scotland) Act 2015</w:t>
      </w:r>
    </w:p>
    <w:p w14:paraId="318F651C" w14:textId="77777777" w:rsidR="00490012" w:rsidRPr="00490012" w:rsidRDefault="00490012" w:rsidP="00490012">
      <w:r w:rsidRPr="00490012">
        <w:t>The Scottish Government’s statutory guidance makes clear that the purpose of CAT is to:</w:t>
      </w:r>
    </w:p>
    <w:p w14:paraId="6526B3B8" w14:textId="77777777" w:rsidR="00490012" w:rsidRPr="00490012" w:rsidRDefault="00490012" w:rsidP="00490012">
      <w:r w:rsidRPr="00490012">
        <w:t>• empower community bodies,</w:t>
      </w:r>
    </w:p>
    <w:p w14:paraId="18C97DCD" w14:textId="77777777" w:rsidR="00490012" w:rsidRPr="00490012" w:rsidRDefault="00490012" w:rsidP="00490012">
      <w:r w:rsidRPr="00490012">
        <w:t>• reduce inequalities,</w:t>
      </w:r>
    </w:p>
    <w:p w14:paraId="04EBE0CA" w14:textId="77777777" w:rsidR="00490012" w:rsidRPr="00490012" w:rsidRDefault="00490012" w:rsidP="00490012">
      <w:r w:rsidRPr="00490012">
        <w:lastRenderedPageBreak/>
        <w:t>• strengthen local voices,</w:t>
      </w:r>
    </w:p>
    <w:p w14:paraId="681B6B83" w14:textId="77777777" w:rsidR="00490012" w:rsidRPr="00490012" w:rsidRDefault="00490012" w:rsidP="00490012">
      <w:r w:rsidRPr="00490012">
        <w:t>• and ensure sustainable community benefit.</w:t>
      </w:r>
    </w:p>
    <w:p w14:paraId="7EF88163" w14:textId="77777777" w:rsidR="00490012" w:rsidRPr="00490012" w:rsidRDefault="00490012" w:rsidP="00490012">
      <w:r w:rsidRPr="00490012">
        <w:t>A CAT applicant must therefore demonstrate:</w:t>
      </w:r>
    </w:p>
    <w:p w14:paraId="1E88BC63" w14:textId="77777777" w:rsidR="00490012" w:rsidRPr="00490012" w:rsidRDefault="00490012" w:rsidP="00490012">
      <w:r w:rsidRPr="00490012">
        <w:t>• inclusive governance,</w:t>
      </w:r>
    </w:p>
    <w:p w14:paraId="7EAFDA88" w14:textId="77777777" w:rsidR="00490012" w:rsidRPr="00490012" w:rsidRDefault="00490012" w:rsidP="00490012">
      <w:r w:rsidRPr="00490012">
        <w:t>• the ability to collaborate,</w:t>
      </w:r>
    </w:p>
    <w:p w14:paraId="3B5F98EE" w14:textId="77777777" w:rsidR="00490012" w:rsidRPr="00490012" w:rsidRDefault="00490012" w:rsidP="00490012">
      <w:r w:rsidRPr="00490012">
        <w:t>• strong community relationships,</w:t>
      </w:r>
    </w:p>
    <w:p w14:paraId="5D7AB04F" w14:textId="77777777" w:rsidR="00490012" w:rsidRPr="00490012" w:rsidRDefault="00490012" w:rsidP="00490012">
      <w:r w:rsidRPr="00490012">
        <w:t>• credible organisational maturity, and</w:t>
      </w:r>
    </w:p>
    <w:p w14:paraId="46CABC56" w14:textId="77777777" w:rsidR="00490012" w:rsidRPr="00490012" w:rsidRDefault="00490012" w:rsidP="00490012">
      <w:r w:rsidRPr="00490012">
        <w:t>• behaviour that builds—not damages—social cohesion.</w:t>
      </w:r>
    </w:p>
    <w:p w14:paraId="6AA80FD3" w14:textId="77777777" w:rsidR="00490012" w:rsidRPr="00490012" w:rsidRDefault="00490012" w:rsidP="00490012"/>
    <w:p w14:paraId="16E46986" w14:textId="72291EF6" w:rsidR="00490012" w:rsidRPr="00490012" w:rsidRDefault="00490012" w:rsidP="00490012">
      <w:r w:rsidRPr="00490012">
        <w:t>FTCH’s conduct during the sub-licence period, combined with divisive public campaigning,</w:t>
      </w:r>
      <w:r>
        <w:t xml:space="preserve"> </w:t>
      </w:r>
      <w:r w:rsidRPr="00490012">
        <w:t>places them in conflict with these principles.</w:t>
      </w:r>
    </w:p>
    <w:p w14:paraId="48D6E30D" w14:textId="74B5F1ED" w:rsidR="00490012" w:rsidRPr="00490012" w:rsidRDefault="00490012" w:rsidP="00490012">
      <w:r w:rsidRPr="00490012">
        <w:t>RMWG’s approach, in contrast, aligns fully with the vision of the Community Empowerment</w:t>
      </w:r>
      <w:r>
        <w:t xml:space="preserve"> </w:t>
      </w:r>
      <w:r w:rsidRPr="00490012">
        <w:t>Act.</w:t>
      </w:r>
    </w:p>
    <w:p w14:paraId="76D14F06" w14:textId="77777777" w:rsidR="00490012" w:rsidRPr="00490012" w:rsidRDefault="00490012" w:rsidP="00490012"/>
    <w:p w14:paraId="56D18932" w14:textId="77777777" w:rsidR="00490012" w:rsidRPr="00490012" w:rsidRDefault="00490012" w:rsidP="00490012">
      <w:r w:rsidRPr="00490012">
        <w:t>7. Governance and Deliverability Concerns Within FTCH’s CAT Application</w:t>
      </w:r>
    </w:p>
    <w:p w14:paraId="3F893248" w14:textId="77777777" w:rsidR="00490012" w:rsidRPr="00490012" w:rsidRDefault="00490012" w:rsidP="00490012">
      <w:r w:rsidRPr="00490012">
        <w:t>A detailed review of FTCH’s application reveals multiple risks:</w:t>
      </w:r>
    </w:p>
    <w:p w14:paraId="0D5ADC4F" w14:textId="77777777" w:rsidR="00490012" w:rsidRPr="00490012" w:rsidRDefault="00490012" w:rsidP="00490012">
      <w:r w:rsidRPr="00490012">
        <w:t>• Over-ambitious development programme</w:t>
      </w:r>
    </w:p>
    <w:p w14:paraId="71C2889B" w14:textId="77777777" w:rsidR="00490012" w:rsidRPr="00490012" w:rsidRDefault="00490012" w:rsidP="00490012">
      <w:r w:rsidRPr="00490012">
        <w:t>• Their multi-phase capital plan is not supported by evidence of prior experience</w:t>
      </w:r>
    </w:p>
    <w:p w14:paraId="4EFF8E34" w14:textId="77777777" w:rsidR="00490012" w:rsidRPr="00490012" w:rsidRDefault="00490012" w:rsidP="00490012">
      <w:r w:rsidRPr="00490012">
        <w:t>delivering large-scale projects.</w:t>
      </w:r>
    </w:p>
    <w:p w14:paraId="3CFF504F" w14:textId="77777777" w:rsidR="00490012" w:rsidRPr="00490012" w:rsidRDefault="00490012" w:rsidP="00490012">
      <w:r w:rsidRPr="00490012">
        <w:t>• Unrealistic financial projections</w:t>
      </w:r>
    </w:p>
    <w:p w14:paraId="29B8C45C" w14:textId="77777777" w:rsidR="00490012" w:rsidRPr="00490012" w:rsidRDefault="00490012" w:rsidP="00490012">
      <w:r w:rsidRPr="00490012">
        <w:t>• Income forecasts rely on optimistic assumptions, unsupported by historic</w:t>
      </w:r>
    </w:p>
    <w:p w14:paraId="3051D936" w14:textId="77777777" w:rsidR="00490012" w:rsidRPr="00490012" w:rsidRDefault="00490012" w:rsidP="00490012">
      <w:r w:rsidRPr="00490012">
        <w:t>performance or secured funding.</w:t>
      </w:r>
    </w:p>
    <w:p w14:paraId="4F06B3A6" w14:textId="77777777" w:rsidR="00490012" w:rsidRPr="00490012" w:rsidRDefault="00490012" w:rsidP="00490012">
      <w:r w:rsidRPr="00490012">
        <w:t>• Heavy dependence on volunteers</w:t>
      </w:r>
    </w:p>
    <w:p w14:paraId="4F26C8A3" w14:textId="77777777" w:rsidR="00490012" w:rsidRPr="00490012" w:rsidRDefault="00490012" w:rsidP="00490012">
      <w:r w:rsidRPr="00490012">
        <w:t>• The scale of volunteer input projected is not sustainable or evidenced.</w:t>
      </w:r>
    </w:p>
    <w:p w14:paraId="1DEBED2F" w14:textId="77777777" w:rsidR="00490012" w:rsidRPr="00490012" w:rsidRDefault="00490012" w:rsidP="00490012">
      <w:r w:rsidRPr="00490012">
        <w:t>• Limited track record of delivering complex community services</w:t>
      </w:r>
    </w:p>
    <w:p w14:paraId="7EF6E0FD" w14:textId="77777777" w:rsidR="00490012" w:rsidRPr="00490012" w:rsidRDefault="00490012" w:rsidP="00490012">
      <w:r w:rsidRPr="00490012">
        <w:t>• Despite claiming continuity, FTCH’s current committee lacks long-term operational</w:t>
      </w:r>
    </w:p>
    <w:p w14:paraId="60223D99" w14:textId="77777777" w:rsidR="00490012" w:rsidRPr="00490012" w:rsidRDefault="00490012" w:rsidP="00490012">
      <w:r w:rsidRPr="00490012">
        <w:t>experience.</w:t>
      </w:r>
    </w:p>
    <w:p w14:paraId="0E2C12E8" w14:textId="40745832" w:rsidR="00490012" w:rsidRPr="00490012" w:rsidRDefault="00490012" w:rsidP="00490012">
      <w:r w:rsidRPr="00490012">
        <w:t>These weaknesses introduce substantial risks to the stability of the asset and the services</w:t>
      </w:r>
      <w:r>
        <w:t xml:space="preserve"> </w:t>
      </w:r>
      <w:r w:rsidRPr="00490012">
        <w:t>that depend on it.</w:t>
      </w:r>
    </w:p>
    <w:p w14:paraId="4BDE044E" w14:textId="77777777" w:rsidR="00490012" w:rsidRPr="00490012" w:rsidRDefault="00490012" w:rsidP="00490012"/>
    <w:p w14:paraId="1F57FCC1" w14:textId="77777777" w:rsidR="00490012" w:rsidRPr="00490012" w:rsidRDefault="00490012" w:rsidP="00490012">
      <w:r w:rsidRPr="00490012">
        <w:t>8. Legal Context of CAT Ownership: Importance of Governance, Values, and Long-Term Stewardship</w:t>
      </w:r>
    </w:p>
    <w:p w14:paraId="0D88387B" w14:textId="77777777" w:rsidR="00490012" w:rsidRPr="00490012" w:rsidRDefault="00490012" w:rsidP="00490012">
      <w:r w:rsidRPr="00490012">
        <w:t>Under the Community Empowerment (Scotland) Act 2015, a successful Community Asset Transfer (CAT) applicant is granted ownership (or a long-term lease) of the property on the terms agreed between the Council and the community body. These terms typically set out expectations around community benefit, but it is ultimately the governance, values, and behaviour of the receiving organisation that determine how those commitments are honoured over time.</w:t>
      </w:r>
    </w:p>
    <w:p w14:paraId="3DEB7B49" w14:textId="77777777" w:rsidR="00490012" w:rsidRPr="00490012" w:rsidRDefault="00490012" w:rsidP="00490012"/>
    <w:p w14:paraId="349EF06D" w14:textId="20FCCF14" w:rsidR="00490012" w:rsidRPr="00490012" w:rsidRDefault="00490012" w:rsidP="00490012">
      <w:r w:rsidRPr="00490012">
        <w:t>Once ownership is transferred, the asset is no longer a Council-managed facility. Its future</w:t>
      </w:r>
      <w:r>
        <w:t xml:space="preserve"> </w:t>
      </w:r>
      <w:r w:rsidRPr="00490012">
        <w:t>use depends on:</w:t>
      </w:r>
    </w:p>
    <w:p w14:paraId="507A5971" w14:textId="77777777" w:rsidR="00490012" w:rsidRPr="00490012" w:rsidRDefault="00490012" w:rsidP="00490012">
      <w:r w:rsidRPr="00490012">
        <w:t>• the strength of the organisation’s governance,</w:t>
      </w:r>
    </w:p>
    <w:p w14:paraId="00C627B6" w14:textId="77777777" w:rsidR="00490012" w:rsidRPr="00490012" w:rsidRDefault="00490012" w:rsidP="00490012">
      <w:r w:rsidRPr="00490012">
        <w:t>• its track record of acting in the public interest,</w:t>
      </w:r>
    </w:p>
    <w:p w14:paraId="4CEE148F" w14:textId="77777777" w:rsidR="00490012" w:rsidRPr="00490012" w:rsidRDefault="00490012" w:rsidP="00490012">
      <w:r w:rsidRPr="00490012">
        <w:t>• its ability to manage relationships with diverse user groups, and</w:t>
      </w:r>
    </w:p>
    <w:p w14:paraId="64978891" w14:textId="77777777" w:rsidR="00490012" w:rsidRPr="00490012" w:rsidRDefault="00490012" w:rsidP="00490012">
      <w:r w:rsidRPr="00490012">
        <w:t>• its willingness to sustain the community-focused purpose of the site.</w:t>
      </w:r>
    </w:p>
    <w:p w14:paraId="245F0715" w14:textId="77777777" w:rsidR="00490012" w:rsidRPr="00490012" w:rsidRDefault="00490012" w:rsidP="00490012"/>
    <w:p w14:paraId="6C9F7363" w14:textId="77777777" w:rsidR="00490012" w:rsidRPr="00490012" w:rsidRDefault="00490012" w:rsidP="00490012">
      <w:r w:rsidRPr="00490012">
        <w:t>While CAT guidance expects community bodies to deliver public benefit, the long-term</w:t>
      </w:r>
    </w:p>
    <w:p w14:paraId="3C1A9719" w14:textId="77777777" w:rsidR="00490012" w:rsidRPr="00490012" w:rsidRDefault="00490012" w:rsidP="00490012">
      <w:r w:rsidRPr="00490012">
        <w:t>safeguarding of that benefit relies heavily on the ethos and conduct of the organisation</w:t>
      </w:r>
    </w:p>
    <w:p w14:paraId="632376EB" w14:textId="77777777" w:rsidR="00490012" w:rsidRPr="00490012" w:rsidRDefault="00490012" w:rsidP="00490012">
      <w:r w:rsidRPr="00490012">
        <w:t>receiving the asset—not on ongoing Council management.</w:t>
      </w:r>
    </w:p>
    <w:p w14:paraId="6295F13B" w14:textId="77777777" w:rsidR="00490012" w:rsidRPr="00490012" w:rsidRDefault="00490012" w:rsidP="00490012"/>
    <w:p w14:paraId="2D5458CC" w14:textId="77777777" w:rsidR="00490012" w:rsidRPr="00490012" w:rsidRDefault="15FA1E3F" w:rsidP="00490012">
      <w:r>
        <w:t>For this reason, the central question before the Council is:</w:t>
      </w:r>
    </w:p>
    <w:p w14:paraId="17DF6753" w14:textId="77777777" w:rsidR="00490012" w:rsidRPr="00490012" w:rsidRDefault="00490012" w:rsidP="00490012">
      <w:r w:rsidRPr="00490012">
        <w:t>Which applicant has demonstrated the governance maturity, values, collaborative</w:t>
      </w:r>
    </w:p>
    <w:p w14:paraId="708B8D20" w14:textId="77777777" w:rsidR="00490012" w:rsidRPr="00490012" w:rsidRDefault="00490012" w:rsidP="00490012">
      <w:r w:rsidRPr="00490012">
        <w:t>behaviour, and proven record that give confidence they will continue to act in the wider</w:t>
      </w:r>
    </w:p>
    <w:p w14:paraId="34B20ABF" w14:textId="77777777" w:rsidR="00490012" w:rsidRPr="00490012" w:rsidRDefault="15FA1E3F" w:rsidP="00490012">
      <w:r>
        <w:t>community interest once the asset is transferred?</w:t>
      </w:r>
    </w:p>
    <w:p w14:paraId="2D53209F" w14:textId="77777777" w:rsidR="00490012" w:rsidRPr="00490012" w:rsidRDefault="00490012" w:rsidP="00490012"/>
    <w:p w14:paraId="6917486E" w14:textId="77777777" w:rsidR="00490012" w:rsidRPr="00490012" w:rsidRDefault="00490012" w:rsidP="00490012">
      <w:r w:rsidRPr="00490012">
        <w:t>Based on the evidence:</w:t>
      </w:r>
    </w:p>
    <w:p w14:paraId="3C56A255" w14:textId="42130AC1" w:rsidR="00490012" w:rsidRPr="00490012" w:rsidRDefault="00490012" w:rsidP="00490012">
      <w:r w:rsidRPr="00490012">
        <w:t>• RMWG has shown consistent stability, inclusion, professionalism, and</w:t>
      </w:r>
      <w:r>
        <w:t xml:space="preserve"> </w:t>
      </w:r>
      <w:r w:rsidRPr="00490012">
        <w:t>community-focused delivery;</w:t>
      </w:r>
    </w:p>
    <w:p w14:paraId="629E719E" w14:textId="77777777" w:rsidR="00490012" w:rsidRPr="00490012" w:rsidRDefault="00490012" w:rsidP="00490012">
      <w:r w:rsidRPr="00490012">
        <w:t>• FTCH has demonstrated a pattern of non-cooperation, adversarial behaviour, and</w:t>
      </w:r>
    </w:p>
    <w:p w14:paraId="737992F6" w14:textId="77777777" w:rsidR="00490012" w:rsidRPr="00490012" w:rsidRDefault="00490012" w:rsidP="00490012">
      <w:r w:rsidRPr="00490012">
        <w:lastRenderedPageBreak/>
        <w:t>divisive public campaigning.</w:t>
      </w:r>
    </w:p>
    <w:p w14:paraId="1A07DC08" w14:textId="117532E0" w:rsidR="00490012" w:rsidRPr="00490012" w:rsidRDefault="00490012" w:rsidP="00490012">
      <w:r w:rsidRPr="00490012">
        <w:t>Accordingly, RMWG clearly offers the stronger basis for long-term trust and</w:t>
      </w:r>
      <w:r>
        <w:t xml:space="preserve"> </w:t>
      </w:r>
      <w:r w:rsidRPr="00490012">
        <w:t>stewardship;</w:t>
      </w:r>
    </w:p>
    <w:p w14:paraId="3A90F1B4" w14:textId="77777777" w:rsidR="00490012" w:rsidRPr="00490012" w:rsidRDefault="00490012" w:rsidP="00490012">
      <w:r w:rsidRPr="00490012">
        <w:t>FTCH does not.</w:t>
      </w:r>
    </w:p>
    <w:p w14:paraId="65955537" w14:textId="77777777" w:rsidR="00490012" w:rsidRPr="00490012" w:rsidRDefault="00490012" w:rsidP="00490012"/>
    <w:p w14:paraId="2CF2FC1E" w14:textId="77777777" w:rsidR="00490012" w:rsidRPr="00490012" w:rsidRDefault="00490012" w:rsidP="00490012">
      <w:r w:rsidRPr="00490012">
        <w:t>9. RMWG’s Proven Capability and Community Benefit</w:t>
      </w:r>
    </w:p>
    <w:p w14:paraId="00BEDC46" w14:textId="77777777" w:rsidR="00490012" w:rsidRPr="00490012" w:rsidRDefault="00490012" w:rsidP="00490012">
      <w:r w:rsidRPr="00490012">
        <w:t>RMWG offers:</w:t>
      </w:r>
    </w:p>
    <w:p w14:paraId="351526F2" w14:textId="77777777" w:rsidR="00490012" w:rsidRPr="00490012" w:rsidRDefault="00490012" w:rsidP="00490012">
      <w:r w:rsidRPr="00490012">
        <w:t>• 20+ years of continuous service to Falkirk,</w:t>
      </w:r>
    </w:p>
    <w:p w14:paraId="0783F0A1" w14:textId="77777777" w:rsidR="00490012" w:rsidRPr="00490012" w:rsidRDefault="00490012" w:rsidP="00490012">
      <w:r w:rsidRPr="00490012">
        <w:t>• inclusive and compassionate programming,</w:t>
      </w:r>
    </w:p>
    <w:p w14:paraId="6BB2FFE1" w14:textId="77777777" w:rsidR="00490012" w:rsidRPr="00490012" w:rsidRDefault="00490012" w:rsidP="00490012">
      <w:r w:rsidRPr="00490012">
        <w:t>• strong financial management and audited accounts,</w:t>
      </w:r>
    </w:p>
    <w:p w14:paraId="4D0F4373" w14:textId="77777777" w:rsidR="00490012" w:rsidRPr="00490012" w:rsidRDefault="00490012" w:rsidP="00490012">
      <w:r w:rsidRPr="00490012">
        <w:t>• stable long-term partnerships,</w:t>
      </w:r>
    </w:p>
    <w:p w14:paraId="5D9B79CD" w14:textId="77777777" w:rsidR="00490012" w:rsidRPr="00490012" w:rsidRDefault="00490012" w:rsidP="00490012">
      <w:r w:rsidRPr="00490012">
        <w:t>• the ability to secure and manage funding,</w:t>
      </w:r>
    </w:p>
    <w:p w14:paraId="309CA44F" w14:textId="77777777" w:rsidR="00490012" w:rsidRPr="00490012" w:rsidRDefault="00490012" w:rsidP="00490012">
      <w:r w:rsidRPr="00490012">
        <w:t>• established governance and volunteer structures,</w:t>
      </w:r>
    </w:p>
    <w:p w14:paraId="045847B0" w14:textId="77777777" w:rsidR="00490012" w:rsidRPr="00490012" w:rsidRDefault="00490012" w:rsidP="00490012">
      <w:r w:rsidRPr="00490012">
        <w:t>• and a demonstrably unifying approach to community relations.</w:t>
      </w:r>
    </w:p>
    <w:p w14:paraId="49C2EE5F" w14:textId="77777777" w:rsidR="00490012" w:rsidRPr="00490012" w:rsidRDefault="00490012" w:rsidP="00490012">
      <w:r w:rsidRPr="00490012">
        <w:t>RMWG has delivered significantly more activity at the centre during the shared licence</w:t>
      </w:r>
    </w:p>
    <w:p w14:paraId="563F9EA2" w14:textId="77777777" w:rsidR="00490012" w:rsidRPr="00490012" w:rsidRDefault="00490012" w:rsidP="00490012">
      <w:r w:rsidRPr="00490012">
        <w:t>period and has done so while maintaining professionalism and respect, even under</w:t>
      </w:r>
    </w:p>
    <w:p w14:paraId="61B58ACF" w14:textId="77777777" w:rsidR="00490012" w:rsidRPr="00490012" w:rsidRDefault="00490012" w:rsidP="00490012">
      <w:r w:rsidRPr="00490012">
        <w:t>pressure.</w:t>
      </w:r>
    </w:p>
    <w:p w14:paraId="0C9B1EDD" w14:textId="77777777" w:rsidR="00490012" w:rsidRPr="00490012" w:rsidRDefault="00490012" w:rsidP="00490012">
      <w:r w:rsidRPr="00490012">
        <w:t>Conclusion: RMWG Is the Strongest, Safest, and Most Suitable CAT Applicant</w:t>
      </w:r>
    </w:p>
    <w:p w14:paraId="35FBBAD5" w14:textId="77777777" w:rsidR="00490012" w:rsidRPr="00490012" w:rsidRDefault="00490012" w:rsidP="00490012">
      <w:r w:rsidRPr="00490012">
        <w:t>Based on:</w:t>
      </w:r>
    </w:p>
    <w:p w14:paraId="153B6036" w14:textId="77777777" w:rsidR="00490012" w:rsidRPr="00490012" w:rsidRDefault="00490012" w:rsidP="00490012">
      <w:r w:rsidRPr="00490012">
        <w:t>• extensive evidence of FTCH’s non-cooperation and divisive conduct,</w:t>
      </w:r>
    </w:p>
    <w:p w14:paraId="21E6C180" w14:textId="77777777" w:rsidR="00490012" w:rsidRPr="00490012" w:rsidRDefault="00490012" w:rsidP="00490012">
      <w:r w:rsidRPr="00490012">
        <w:t>• misrepresentation of their experience,</w:t>
      </w:r>
    </w:p>
    <w:p w14:paraId="2C9A02B9" w14:textId="77777777" w:rsidR="00490012" w:rsidRPr="00490012" w:rsidRDefault="00490012" w:rsidP="00490012">
      <w:r w:rsidRPr="00490012">
        <w:t>• significant governance and operational risks,</w:t>
      </w:r>
    </w:p>
    <w:p w14:paraId="2B674807" w14:textId="77777777" w:rsidR="00490012" w:rsidRPr="00490012" w:rsidRDefault="00490012" w:rsidP="00490012">
      <w:r w:rsidRPr="00490012">
        <w:t>• the compelling testimony of the former long-standing trustees,</w:t>
      </w:r>
    </w:p>
    <w:p w14:paraId="3442FFB2" w14:textId="77777777" w:rsidR="00490012" w:rsidRPr="00490012" w:rsidRDefault="00490012" w:rsidP="00490012">
      <w:r w:rsidRPr="00490012">
        <w:t>• RMWG’s proven capability, stability, and inclusive ethos,</w:t>
      </w:r>
    </w:p>
    <w:p w14:paraId="095830A0" w14:textId="77777777" w:rsidR="00490012" w:rsidRPr="00490012" w:rsidRDefault="00490012" w:rsidP="00490012">
      <w:r w:rsidRPr="00490012">
        <w:t>• alignment with the Community Empowerment (Scotland) Act 2015, and</w:t>
      </w:r>
    </w:p>
    <w:p w14:paraId="174E1F41" w14:textId="77777777" w:rsidR="00490012" w:rsidRPr="00490012" w:rsidRDefault="00490012" w:rsidP="00490012">
      <w:r w:rsidRPr="00490012">
        <w:t>• the legal implications of full asset ownership,</w:t>
      </w:r>
    </w:p>
    <w:p w14:paraId="2B11ABC6" w14:textId="77777777" w:rsidR="00490012" w:rsidRPr="00490012" w:rsidRDefault="00490012" w:rsidP="00490012"/>
    <w:p w14:paraId="38510412" w14:textId="65834A84" w:rsidR="00490012" w:rsidRPr="00490012" w:rsidRDefault="00490012" w:rsidP="00490012">
      <w:r w:rsidRPr="00490012">
        <w:t>We respectfully request that Falkirk Council reject FTCH’s Community Asset Transfer</w:t>
      </w:r>
      <w:r>
        <w:t xml:space="preserve"> </w:t>
      </w:r>
      <w:r w:rsidRPr="00490012">
        <w:t xml:space="preserve">application. RMWG is the applicant who can deliver a stable, inclusive, sustainable </w:t>
      </w:r>
      <w:r w:rsidRPr="00490012">
        <w:lastRenderedPageBreak/>
        <w:t>asset for the people of Falkirk and continue the hall’s long tradition of serving all sections of the community.</w:t>
      </w:r>
    </w:p>
    <w:p w14:paraId="0283CBEB" w14:textId="7A5E78FC" w:rsidR="02C8CF49" w:rsidRDefault="00490012">
      <w:r>
        <w:t>We remain available to provide any further clarification or documentation required.</w:t>
      </w:r>
    </w:p>
    <w:sectPr w:rsidR="02C8C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7509F"/>
    <w:multiLevelType w:val="hybridMultilevel"/>
    <w:tmpl w:val="C7908754"/>
    <w:lvl w:ilvl="0" w:tplc="30E669BC">
      <w:start w:val="1"/>
      <w:numFmt w:val="decimal"/>
      <w:lvlText w:val="•"/>
      <w:lvlJc w:val="left"/>
      <w:pPr>
        <w:ind w:left="720" w:hanging="360"/>
      </w:pPr>
    </w:lvl>
    <w:lvl w:ilvl="1" w:tplc="ABFC5F68">
      <w:start w:val="1"/>
      <w:numFmt w:val="lowerLetter"/>
      <w:lvlText w:val="%2."/>
      <w:lvlJc w:val="left"/>
      <w:pPr>
        <w:ind w:left="1440" w:hanging="360"/>
      </w:pPr>
    </w:lvl>
    <w:lvl w:ilvl="2" w:tplc="A9CA21F2">
      <w:start w:val="1"/>
      <w:numFmt w:val="lowerRoman"/>
      <w:lvlText w:val="%3."/>
      <w:lvlJc w:val="right"/>
      <w:pPr>
        <w:ind w:left="2160" w:hanging="180"/>
      </w:pPr>
    </w:lvl>
    <w:lvl w:ilvl="3" w:tplc="87069B58">
      <w:start w:val="1"/>
      <w:numFmt w:val="decimal"/>
      <w:lvlText w:val="%4."/>
      <w:lvlJc w:val="left"/>
      <w:pPr>
        <w:ind w:left="2880" w:hanging="360"/>
      </w:pPr>
    </w:lvl>
    <w:lvl w:ilvl="4" w:tplc="FCFC0AA6">
      <w:start w:val="1"/>
      <w:numFmt w:val="lowerLetter"/>
      <w:lvlText w:val="%5."/>
      <w:lvlJc w:val="left"/>
      <w:pPr>
        <w:ind w:left="3600" w:hanging="360"/>
      </w:pPr>
    </w:lvl>
    <w:lvl w:ilvl="5" w:tplc="BEDA33E6">
      <w:start w:val="1"/>
      <w:numFmt w:val="lowerRoman"/>
      <w:lvlText w:val="%6."/>
      <w:lvlJc w:val="right"/>
      <w:pPr>
        <w:ind w:left="4320" w:hanging="180"/>
      </w:pPr>
    </w:lvl>
    <w:lvl w:ilvl="6" w:tplc="7D083008">
      <w:start w:val="1"/>
      <w:numFmt w:val="decimal"/>
      <w:lvlText w:val="%7."/>
      <w:lvlJc w:val="left"/>
      <w:pPr>
        <w:ind w:left="5040" w:hanging="360"/>
      </w:pPr>
    </w:lvl>
    <w:lvl w:ilvl="7" w:tplc="091E2458">
      <w:start w:val="1"/>
      <w:numFmt w:val="lowerLetter"/>
      <w:lvlText w:val="%8."/>
      <w:lvlJc w:val="left"/>
      <w:pPr>
        <w:ind w:left="5760" w:hanging="360"/>
      </w:pPr>
    </w:lvl>
    <w:lvl w:ilvl="8" w:tplc="9EFA60A2">
      <w:start w:val="1"/>
      <w:numFmt w:val="lowerRoman"/>
      <w:lvlText w:val="%9."/>
      <w:lvlJc w:val="right"/>
      <w:pPr>
        <w:ind w:left="6480" w:hanging="180"/>
      </w:pPr>
    </w:lvl>
  </w:abstractNum>
  <w:num w:numId="1" w16cid:durableId="157424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12"/>
    <w:rsid w:val="00186040"/>
    <w:rsid w:val="00305E0A"/>
    <w:rsid w:val="003C0C7D"/>
    <w:rsid w:val="00490012"/>
    <w:rsid w:val="004F0AA4"/>
    <w:rsid w:val="00532C46"/>
    <w:rsid w:val="006A2846"/>
    <w:rsid w:val="006D211D"/>
    <w:rsid w:val="007624D0"/>
    <w:rsid w:val="00775577"/>
    <w:rsid w:val="008B52DC"/>
    <w:rsid w:val="00955E0A"/>
    <w:rsid w:val="00956117"/>
    <w:rsid w:val="00A119F4"/>
    <w:rsid w:val="00AB6830"/>
    <w:rsid w:val="00C15B6A"/>
    <w:rsid w:val="00C64FED"/>
    <w:rsid w:val="00C948B1"/>
    <w:rsid w:val="00F03556"/>
    <w:rsid w:val="02C8CF49"/>
    <w:rsid w:val="14C48023"/>
    <w:rsid w:val="15FA1E3F"/>
    <w:rsid w:val="4537E88A"/>
    <w:rsid w:val="52F63387"/>
    <w:rsid w:val="6EE9240E"/>
    <w:rsid w:val="7B93D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7F71"/>
  <w15:chartTrackingRefBased/>
  <w15:docId w15:val="{30BCAA5B-D28A-4690-AEDE-6639A3A1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012"/>
    <w:rPr>
      <w:rFonts w:eastAsiaTheme="majorEastAsia" w:cstheme="majorBidi"/>
      <w:color w:val="272727" w:themeColor="text1" w:themeTint="D8"/>
    </w:rPr>
  </w:style>
  <w:style w:type="paragraph" w:styleId="Title">
    <w:name w:val="Title"/>
    <w:basedOn w:val="Normal"/>
    <w:next w:val="Normal"/>
    <w:link w:val="TitleChar"/>
    <w:uiPriority w:val="10"/>
    <w:qFormat/>
    <w:rsid w:val="00490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012"/>
    <w:pPr>
      <w:spacing w:before="160"/>
      <w:jc w:val="center"/>
    </w:pPr>
    <w:rPr>
      <w:i/>
      <w:iCs/>
      <w:color w:val="404040" w:themeColor="text1" w:themeTint="BF"/>
    </w:rPr>
  </w:style>
  <w:style w:type="character" w:customStyle="1" w:styleId="QuoteChar">
    <w:name w:val="Quote Char"/>
    <w:basedOn w:val="DefaultParagraphFont"/>
    <w:link w:val="Quote"/>
    <w:uiPriority w:val="29"/>
    <w:rsid w:val="00490012"/>
    <w:rPr>
      <w:i/>
      <w:iCs/>
      <w:color w:val="404040" w:themeColor="text1" w:themeTint="BF"/>
    </w:rPr>
  </w:style>
  <w:style w:type="paragraph" w:styleId="ListParagraph">
    <w:name w:val="List Paragraph"/>
    <w:basedOn w:val="Normal"/>
    <w:uiPriority w:val="34"/>
    <w:qFormat/>
    <w:rsid w:val="00490012"/>
    <w:pPr>
      <w:ind w:left="720"/>
      <w:contextualSpacing/>
    </w:pPr>
  </w:style>
  <w:style w:type="character" w:styleId="IntenseEmphasis">
    <w:name w:val="Intense Emphasis"/>
    <w:basedOn w:val="DefaultParagraphFont"/>
    <w:uiPriority w:val="21"/>
    <w:qFormat/>
    <w:rsid w:val="00490012"/>
    <w:rPr>
      <w:i/>
      <w:iCs/>
      <w:color w:val="0F4761" w:themeColor="accent1" w:themeShade="BF"/>
    </w:rPr>
  </w:style>
  <w:style w:type="paragraph" w:styleId="IntenseQuote">
    <w:name w:val="Intense Quote"/>
    <w:basedOn w:val="Normal"/>
    <w:next w:val="Normal"/>
    <w:link w:val="IntenseQuoteChar"/>
    <w:uiPriority w:val="30"/>
    <w:qFormat/>
    <w:rsid w:val="00490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012"/>
    <w:rPr>
      <w:i/>
      <w:iCs/>
      <w:color w:val="0F4761" w:themeColor="accent1" w:themeShade="BF"/>
    </w:rPr>
  </w:style>
  <w:style w:type="character" w:styleId="IntenseReference">
    <w:name w:val="Intense Reference"/>
    <w:basedOn w:val="DefaultParagraphFont"/>
    <w:uiPriority w:val="32"/>
    <w:qFormat/>
    <w:rsid w:val="00490012"/>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86040"/>
    <w:rPr>
      <w:b/>
      <w:bCs/>
    </w:rPr>
  </w:style>
  <w:style w:type="character" w:customStyle="1" w:styleId="CommentSubjectChar">
    <w:name w:val="Comment Subject Char"/>
    <w:basedOn w:val="CommentTextChar"/>
    <w:link w:val="CommentSubject"/>
    <w:uiPriority w:val="99"/>
    <w:semiHidden/>
    <w:rsid w:val="00186040"/>
    <w:rPr>
      <w:b/>
      <w:bCs/>
      <w:sz w:val="20"/>
      <w:szCs w:val="20"/>
    </w:rPr>
  </w:style>
  <w:style w:type="character" w:styleId="Hyperlink">
    <w:name w:val="Hyperlink"/>
    <w:basedOn w:val="DefaultParagraphFont"/>
    <w:uiPriority w:val="99"/>
    <w:unhideWhenUsed/>
    <w:rsid w:val="02C8CF49"/>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documentManagement>
</p:properties>
</file>

<file path=customXml/itemProps1.xml><?xml version="1.0" encoding="utf-8"?>
<ds:datastoreItem xmlns:ds="http://schemas.openxmlformats.org/officeDocument/2006/customXml" ds:itemID="{C2F8FE30-CC40-4472-BADF-F3A379254FCE}">
  <ds:schemaRefs>
    <ds:schemaRef ds:uri="http://schemas.microsoft.com/sharepoint/v3/contenttype/forms"/>
  </ds:schemaRefs>
</ds:datastoreItem>
</file>

<file path=customXml/itemProps2.xml><?xml version="1.0" encoding="utf-8"?>
<ds:datastoreItem xmlns:ds="http://schemas.openxmlformats.org/officeDocument/2006/customXml" ds:itemID="{A758222D-1483-4F95-A181-64A1E759ED70}"/>
</file>

<file path=customXml/itemProps3.xml><?xml version="1.0" encoding="utf-8"?>
<ds:datastoreItem xmlns:ds="http://schemas.openxmlformats.org/officeDocument/2006/customXml" ds:itemID="{A9F610DC-8DC7-4376-B02D-4D5B96960280}">
  <ds:schemaRefs>
    <ds:schemaRef ds:uri="http://schemas.microsoft.com/office/2006/metadata/properties"/>
    <ds:schemaRef ds:uri="http://schemas.microsoft.com/office/infopath/2007/PartnerControls"/>
    <ds:schemaRef ds:uri="008194ee-09ad-4d2d-9e1b-edb63087c84c"/>
    <ds:schemaRef ds:uri="7d79fd1c-f852-4dcf-8a76-1c24437fe2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1546</Words>
  <Characters>8816</Characters>
  <Application>Microsoft Office Word</Application>
  <DocSecurity>0</DocSecurity>
  <Lines>73</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10</cp:revision>
  <dcterms:created xsi:type="dcterms:W3CDTF">2026-04-08T09:02:00Z</dcterms:created>
  <dcterms:modified xsi:type="dcterms:W3CDTF">2026-06-02T13:11:00Z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