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696"/>
        <w:gridCol w:w="7932"/>
      </w:tblGrid>
      <w:tr w:rsidR="00D84368" w:rsidRPr="00494430" w14:paraId="2918BC16" w14:textId="77777777" w:rsidTr="50E7F296">
        <w:tc>
          <w:tcPr>
            <w:tcW w:w="1696" w:type="dxa"/>
          </w:tcPr>
          <w:p w14:paraId="3ED8B41F" w14:textId="5FB36E89" w:rsidR="00D84368" w:rsidRPr="00494430" w:rsidRDefault="00D84368" w:rsidP="00D84368">
            <w:pPr>
              <w:pStyle w:val="Heading1"/>
              <w:spacing w:before="60" w:after="60"/>
            </w:pPr>
            <w:r w:rsidRPr="00494430">
              <w:t>Workstream Title:</w:t>
            </w:r>
          </w:p>
        </w:tc>
        <w:tc>
          <w:tcPr>
            <w:tcW w:w="7932" w:type="dxa"/>
          </w:tcPr>
          <w:p w14:paraId="1A82DB03" w14:textId="63179176" w:rsidR="00D84368" w:rsidRPr="00494430" w:rsidRDefault="6AD396A6" w:rsidP="00D84368">
            <w:pPr>
              <w:pStyle w:val="Heading1"/>
              <w:spacing w:before="60" w:after="60"/>
            </w:pPr>
            <w:r w:rsidRPr="00494430">
              <w:t xml:space="preserve">Governance </w:t>
            </w:r>
          </w:p>
        </w:tc>
      </w:tr>
      <w:tr w:rsidR="00D84368" w:rsidRPr="00494430" w14:paraId="02F45114" w14:textId="77777777" w:rsidTr="50E7F296">
        <w:tc>
          <w:tcPr>
            <w:tcW w:w="1696" w:type="dxa"/>
          </w:tcPr>
          <w:p w14:paraId="34F46219" w14:textId="2D138131" w:rsidR="00D84368" w:rsidRPr="00494430" w:rsidRDefault="00D84368" w:rsidP="00D84368">
            <w:pPr>
              <w:pStyle w:val="Heading1"/>
              <w:spacing w:before="60" w:after="60"/>
            </w:pPr>
            <w:r w:rsidRPr="00494430">
              <w:t>Date:</w:t>
            </w:r>
          </w:p>
        </w:tc>
        <w:tc>
          <w:tcPr>
            <w:tcW w:w="7932" w:type="dxa"/>
          </w:tcPr>
          <w:p w14:paraId="1E642536" w14:textId="3B97E8B0" w:rsidR="00D84368" w:rsidRPr="00494430" w:rsidRDefault="5AAD1215" w:rsidP="00D84368">
            <w:pPr>
              <w:pStyle w:val="Heading1"/>
              <w:spacing w:before="60" w:after="60"/>
            </w:pPr>
            <w:r w:rsidRPr="00494430">
              <w:t>18</w:t>
            </w:r>
            <w:r w:rsidRPr="00494430">
              <w:rPr>
                <w:vertAlign w:val="superscript"/>
              </w:rPr>
              <w:t>th</w:t>
            </w:r>
            <w:r w:rsidRPr="00494430">
              <w:t xml:space="preserve"> </w:t>
            </w:r>
            <w:r w:rsidR="7D32397C" w:rsidRPr="00494430">
              <w:t xml:space="preserve">March </w:t>
            </w:r>
            <w:r w:rsidRPr="00494430">
              <w:t>2026</w:t>
            </w:r>
          </w:p>
        </w:tc>
      </w:tr>
    </w:tbl>
    <w:p w14:paraId="787A8D5D" w14:textId="77777777" w:rsidR="00C60DFF" w:rsidRPr="00494430" w:rsidRDefault="00C60DFF" w:rsidP="00C23D31"/>
    <w:p w14:paraId="4F2DB5CF" w14:textId="7C1FA4CF" w:rsidR="007E708B" w:rsidRPr="00494430" w:rsidRDefault="007E708B" w:rsidP="00486767">
      <w:pPr>
        <w:pStyle w:val="Heading1"/>
        <w:tabs>
          <w:tab w:val="left" w:pos="709"/>
        </w:tabs>
      </w:pPr>
      <w:r w:rsidRPr="00494430">
        <w:t>1.</w:t>
      </w:r>
      <w:r w:rsidRPr="00494430">
        <w:tab/>
        <w:t>Overarching Purpose of Workstream</w:t>
      </w:r>
    </w:p>
    <w:p w14:paraId="2DC70D22" w14:textId="77777777" w:rsidR="007E708B" w:rsidRPr="00494430" w:rsidRDefault="007E708B" w:rsidP="007E708B"/>
    <w:p w14:paraId="27A4B3D2" w14:textId="1663F4B2" w:rsidR="007E708B" w:rsidRPr="00494430" w:rsidRDefault="007E708B" w:rsidP="00486767">
      <w:pPr>
        <w:ind w:left="709"/>
      </w:pPr>
      <w:r w:rsidRPr="00494430">
        <w:t xml:space="preserve">The Collaboration through Transformation Board has been established to oversee the work being undertaken to deliver transformation through collaboration with partners.  In the first instance, the Board is focused on the approved Tranche 1 functions and corporate overarching workstreams. The </w:t>
      </w:r>
      <w:r w:rsidR="04A99496" w:rsidRPr="00494430">
        <w:t xml:space="preserve">Governance </w:t>
      </w:r>
      <w:r w:rsidRPr="00494430">
        <w:t>workstream is an overarching workstream which will support the delivery of Tranche 1</w:t>
      </w:r>
      <w:r w:rsidR="634F2DBD" w:rsidRPr="00494430">
        <w:t>.</w:t>
      </w:r>
      <w:r w:rsidRPr="00494430">
        <w:t xml:space="preserve">  </w:t>
      </w:r>
    </w:p>
    <w:p w14:paraId="2FC11281" w14:textId="77777777" w:rsidR="007E708B" w:rsidRPr="00494430" w:rsidRDefault="007E708B" w:rsidP="00486767">
      <w:pPr>
        <w:ind w:left="709" w:hanging="709"/>
      </w:pPr>
    </w:p>
    <w:p w14:paraId="5ED2DF74" w14:textId="37E1C093" w:rsidR="007E708B" w:rsidRPr="00494430" w:rsidRDefault="007E708B" w:rsidP="18708233">
      <w:pPr>
        <w:ind w:left="709"/>
        <w:rPr>
          <w:b/>
          <w:bCs/>
        </w:rPr>
      </w:pPr>
      <w:r w:rsidRPr="00494430">
        <w:t>A key priority for the</w:t>
      </w:r>
      <w:r w:rsidR="4E6CAA79" w:rsidRPr="00494430">
        <w:t xml:space="preserve"> Governance </w:t>
      </w:r>
      <w:r w:rsidRPr="00494430">
        <w:t>workstream is to deliver a</w:t>
      </w:r>
      <w:r w:rsidR="29AD6C95" w:rsidRPr="00494430">
        <w:t xml:space="preserve"> </w:t>
      </w:r>
      <w:r w:rsidR="3B62F17F" w:rsidRPr="00494430">
        <w:t>programme of work which establishes the necessary corporate foundations required to support integrated service delivery across partner organisations.</w:t>
      </w:r>
    </w:p>
    <w:p w14:paraId="336A1D56" w14:textId="77777777" w:rsidR="00DA6585" w:rsidRPr="00494430" w:rsidRDefault="00DA6585" w:rsidP="00DA6585">
      <w:pPr>
        <w:pStyle w:val="Bullet"/>
        <w:numPr>
          <w:ilvl w:val="0"/>
          <w:numId w:val="0"/>
        </w:numPr>
        <w:ind w:left="1418"/>
      </w:pPr>
    </w:p>
    <w:p w14:paraId="41744555" w14:textId="2AA26270" w:rsidR="00CF0763" w:rsidRPr="00494430" w:rsidRDefault="3B62F17F" w:rsidP="3B62F17F">
      <w:pPr>
        <w:rPr>
          <w:b/>
          <w:bCs/>
        </w:rPr>
      </w:pPr>
      <w:r w:rsidRPr="00494430">
        <w:rPr>
          <w:b/>
          <w:bCs/>
        </w:rPr>
        <w:t xml:space="preserve">1.2. </w:t>
      </w:r>
      <w:r w:rsidR="00DA6585" w:rsidRPr="00494430">
        <w:tab/>
      </w:r>
      <w:r w:rsidRPr="00494430">
        <w:rPr>
          <w:b/>
          <w:bCs/>
        </w:rPr>
        <w:t>Pro</w:t>
      </w:r>
      <w:r w:rsidR="00E66F67" w:rsidRPr="00494430">
        <w:rPr>
          <w:b/>
          <w:bCs/>
        </w:rPr>
        <w:t>ject aim</w:t>
      </w:r>
    </w:p>
    <w:p w14:paraId="7DF8801F" w14:textId="77777777" w:rsidR="004D61CA" w:rsidRPr="00494430" w:rsidRDefault="004D61CA" w:rsidP="007E708B">
      <w:pPr>
        <w:rPr>
          <w:rFonts w:cs="Arial"/>
          <w:b/>
          <w:bCs/>
          <w:color w:val="FFFFFF" w:themeColor="background1"/>
          <w:sz w:val="32"/>
          <w:szCs w:val="32"/>
        </w:rPr>
      </w:pPr>
      <w:r w:rsidRPr="00494430">
        <w:rPr>
          <w:b/>
        </w:rPr>
        <w:tab/>
      </w:r>
    </w:p>
    <w:tbl>
      <w:tblPr>
        <w:tblStyle w:val="TableGrid"/>
        <w:tblW w:w="9628" w:type="dxa"/>
        <w:tblInd w:w="704" w:type="dxa"/>
        <w:tblLook w:val="04A0" w:firstRow="1" w:lastRow="0" w:firstColumn="1" w:lastColumn="0" w:noHBand="0" w:noVBand="1"/>
      </w:tblPr>
      <w:tblGrid>
        <w:gridCol w:w="9628"/>
      </w:tblGrid>
      <w:tr w:rsidR="007A2734" w:rsidRPr="00494430" w14:paraId="6BE48BF2" w14:textId="77777777" w:rsidTr="18708233">
        <w:trPr>
          <w:trHeight w:val="300"/>
        </w:trPr>
        <w:tc>
          <w:tcPr>
            <w:tcW w:w="9628" w:type="dxa"/>
            <w:shd w:val="clear" w:color="auto" w:fill="3A7C22" w:themeFill="accent6" w:themeFillShade="BF"/>
          </w:tcPr>
          <w:p w14:paraId="415819DA" w14:textId="2D6B911E" w:rsidR="004D61CA" w:rsidRPr="00494430" w:rsidRDefault="006B348E" w:rsidP="52D1BF9C">
            <w:pPr>
              <w:spacing w:before="60" w:after="60"/>
              <w:rPr>
                <w:rFonts w:cs="Arial"/>
                <w:b/>
                <w:bCs/>
                <w:color w:val="FFFFFF" w:themeColor="background1"/>
              </w:rPr>
            </w:pPr>
            <w:r w:rsidRPr="00494430">
              <w:rPr>
                <w:rFonts w:cs="Arial"/>
                <w:b/>
                <w:bCs/>
                <w:color w:val="FFFFFF" w:themeColor="background1"/>
              </w:rPr>
              <w:t xml:space="preserve">Please provide a short summary that illustrates </w:t>
            </w:r>
            <w:r w:rsidR="0016475E" w:rsidRPr="00494430">
              <w:rPr>
                <w:rFonts w:cs="Arial"/>
                <w:b/>
                <w:bCs/>
                <w:color w:val="FFFFFF" w:themeColor="background1"/>
              </w:rPr>
              <w:t xml:space="preserve">what this workstream is </w:t>
            </w:r>
            <w:r w:rsidR="00E66F67" w:rsidRPr="00494430">
              <w:rPr>
                <w:rFonts w:cs="Arial"/>
                <w:b/>
                <w:bCs/>
                <w:color w:val="FFFFFF" w:themeColor="background1"/>
              </w:rPr>
              <w:t>aiming to achieve</w:t>
            </w:r>
            <w:r w:rsidR="166E6F4D" w:rsidRPr="00494430">
              <w:rPr>
                <w:rFonts w:cs="Arial"/>
                <w:b/>
                <w:bCs/>
                <w:color w:val="FFFFFF" w:themeColor="background1"/>
                <w:kern w:val="0"/>
                <w14:ligatures w14:val="none"/>
              </w:rPr>
              <w:t>.</w:t>
            </w:r>
          </w:p>
        </w:tc>
      </w:tr>
      <w:tr w:rsidR="004D61CA" w:rsidRPr="00494430" w14:paraId="4BFE599B" w14:textId="77777777" w:rsidTr="18708233">
        <w:trPr>
          <w:trHeight w:val="300"/>
        </w:trPr>
        <w:tc>
          <w:tcPr>
            <w:tcW w:w="9628" w:type="dxa"/>
          </w:tcPr>
          <w:p w14:paraId="07342D93" w14:textId="05DCF031" w:rsidR="00FF3E6C" w:rsidRPr="00494430" w:rsidRDefault="1746857F" w:rsidP="18708233">
            <w:pPr>
              <w:spacing w:after="160" w:line="257" w:lineRule="auto"/>
              <w:rPr>
                <w:rFonts w:eastAsia="Arial" w:cs="Arial"/>
              </w:rPr>
            </w:pPr>
            <w:r w:rsidRPr="00494430">
              <w:rPr>
                <w:rFonts w:eastAsia="Arial" w:cs="Arial"/>
              </w:rPr>
              <w:t>This workstream aims to establish the necessary corporate foundations required to support integrated service delivery across partner organisations.</w:t>
            </w:r>
          </w:p>
          <w:p w14:paraId="2995A100" w14:textId="3CD30BF5" w:rsidR="00FF3E6C" w:rsidRPr="00494430" w:rsidRDefault="1746857F" w:rsidP="18708233">
            <w:pPr>
              <w:spacing w:after="160" w:line="257" w:lineRule="auto"/>
              <w:rPr>
                <w:rFonts w:eastAsia="Arial" w:cs="Arial"/>
              </w:rPr>
            </w:pPr>
            <w:r w:rsidRPr="00494430">
              <w:rPr>
                <w:rFonts w:eastAsia="Arial" w:cs="Arial"/>
              </w:rPr>
              <w:t xml:space="preserve">This workstream will produce a framework, to inform the development, decision </w:t>
            </w:r>
            <w:r w:rsidR="006E3442" w:rsidRPr="00494430">
              <w:rPr>
                <w:rFonts w:eastAsia="Arial" w:cs="Arial"/>
              </w:rPr>
              <w:t>making,</w:t>
            </w:r>
            <w:r w:rsidRPr="00494430">
              <w:rPr>
                <w:rFonts w:eastAsia="Arial" w:cs="Arial"/>
              </w:rPr>
              <w:t xml:space="preserve"> and delivery of the Transformation through </w:t>
            </w:r>
            <w:bookmarkStart w:id="0" w:name="_Int_qjl7v426"/>
            <w:r w:rsidRPr="00494430">
              <w:rPr>
                <w:rFonts w:eastAsia="Arial" w:cs="Arial"/>
              </w:rPr>
              <w:t>Collaboration</w:t>
            </w:r>
            <w:bookmarkEnd w:id="0"/>
            <w:r w:rsidRPr="00494430">
              <w:rPr>
                <w:rFonts w:eastAsia="Arial" w:cs="Arial"/>
              </w:rPr>
              <w:t xml:space="preserve"> Programme. </w:t>
            </w:r>
            <w:r w:rsidR="006E3442" w:rsidRPr="00494430">
              <w:rPr>
                <w:rFonts w:eastAsia="Arial" w:cs="Arial"/>
              </w:rPr>
              <w:t xml:space="preserve"> </w:t>
            </w:r>
            <w:r w:rsidRPr="00494430">
              <w:rPr>
                <w:rFonts w:eastAsia="Arial" w:cs="Arial"/>
              </w:rPr>
              <w:t>This workstream is multi-layered and will set out the required governance procedures specific to the Programme and the processes to be followed across partner organisations</w:t>
            </w:r>
            <w:r w:rsidR="006E3442" w:rsidRPr="00494430">
              <w:rPr>
                <w:rFonts w:eastAsia="Arial" w:cs="Arial"/>
              </w:rPr>
              <w:t xml:space="preserve">.  </w:t>
            </w:r>
            <w:r w:rsidRPr="00494430">
              <w:rPr>
                <w:rFonts w:eastAsia="Arial" w:cs="Arial"/>
              </w:rPr>
              <w:t>Recognising the need for flexibility in response to the various workstream requirements.</w:t>
            </w:r>
          </w:p>
          <w:p w14:paraId="107AAE8E" w14:textId="090CADDA" w:rsidR="00FF3E6C" w:rsidRPr="00494430" w:rsidRDefault="1746857F" w:rsidP="18708233">
            <w:pPr>
              <w:spacing w:after="160" w:line="257" w:lineRule="auto"/>
              <w:rPr>
                <w:rFonts w:eastAsia="Arial" w:cs="Arial"/>
              </w:rPr>
            </w:pPr>
            <w:r w:rsidRPr="00494430">
              <w:rPr>
                <w:rFonts w:eastAsia="Arial" w:cs="Arial"/>
              </w:rPr>
              <w:t xml:space="preserve">Additionally, this workstream will explore the legal competencies, subsequent Member level governance implications, employee implications of shared service </w:t>
            </w:r>
            <w:r w:rsidR="712AFE6F" w:rsidRPr="00494430">
              <w:rPr>
                <w:rFonts w:eastAsia="Arial" w:cs="Arial"/>
              </w:rPr>
              <w:t>agreements,</w:t>
            </w:r>
            <w:r w:rsidRPr="00494430">
              <w:rPr>
                <w:rFonts w:eastAsia="Arial" w:cs="Arial"/>
              </w:rPr>
              <w:t xml:space="preserve"> and all associated legal aspects that flow from any arrangement</w:t>
            </w:r>
            <w:r w:rsidR="0EA3FD33" w:rsidRPr="00494430">
              <w:rPr>
                <w:rFonts w:eastAsia="Arial" w:cs="Arial"/>
              </w:rPr>
              <w:t>.</w:t>
            </w:r>
          </w:p>
          <w:p w14:paraId="7F611F65" w14:textId="77777777" w:rsidR="00FF3E6C" w:rsidRPr="00494430" w:rsidRDefault="00FF3E6C" w:rsidP="00AE761C">
            <w:pPr>
              <w:rPr>
                <w:u w:val="single"/>
              </w:rPr>
            </w:pPr>
          </w:p>
        </w:tc>
      </w:tr>
    </w:tbl>
    <w:p w14:paraId="02ECFFFF" w14:textId="19B2DDED" w:rsidR="004D61CA" w:rsidRPr="00494430" w:rsidRDefault="004D61CA" w:rsidP="007E708B">
      <w:pPr>
        <w:rPr>
          <w:b/>
        </w:rPr>
      </w:pPr>
    </w:p>
    <w:p w14:paraId="75C7F174" w14:textId="77777777" w:rsidR="00CF0763" w:rsidRPr="00494430" w:rsidRDefault="00CF0763" w:rsidP="007E708B">
      <w:pPr>
        <w:rPr>
          <w:b/>
        </w:rPr>
      </w:pPr>
    </w:p>
    <w:p w14:paraId="5AD35093" w14:textId="5B4B8F4D" w:rsidR="007E708B" w:rsidRPr="00494430" w:rsidRDefault="007E708B" w:rsidP="00486767">
      <w:pPr>
        <w:tabs>
          <w:tab w:val="left" w:pos="709"/>
        </w:tabs>
        <w:rPr>
          <w:b/>
        </w:rPr>
      </w:pPr>
      <w:r w:rsidRPr="00494430">
        <w:rPr>
          <w:b/>
        </w:rPr>
        <w:t>2.</w:t>
      </w:r>
      <w:r w:rsidR="00CF0763" w:rsidRPr="00494430">
        <w:rPr>
          <w:b/>
        </w:rPr>
        <w:tab/>
      </w:r>
      <w:r w:rsidRPr="00494430">
        <w:rPr>
          <w:b/>
        </w:rPr>
        <w:t>Objectives</w:t>
      </w:r>
    </w:p>
    <w:p w14:paraId="6791E0C9" w14:textId="77777777" w:rsidR="00CF0763" w:rsidRPr="00494430" w:rsidRDefault="00CF0763" w:rsidP="00CF0763"/>
    <w:p w14:paraId="77C6EC85" w14:textId="3E360527" w:rsidR="007E708B" w:rsidRPr="00494430" w:rsidRDefault="3B62F17F" w:rsidP="00D02E3F">
      <w:pPr>
        <w:ind w:left="709" w:firstLine="11"/>
      </w:pPr>
      <w:r w:rsidRPr="00494430">
        <w:t>The following sets out the key objectives of this work in relation to the above summary:</w:t>
      </w:r>
    </w:p>
    <w:p w14:paraId="04342008" w14:textId="77777777" w:rsidR="00CF0763" w:rsidRPr="00494430" w:rsidRDefault="00CF0763" w:rsidP="00CF0763"/>
    <w:p w14:paraId="1F08B6D8" w14:textId="2FF92AE5" w:rsidR="00CF0763" w:rsidRPr="00494430" w:rsidRDefault="0A2FE00B" w:rsidP="18708233">
      <w:pPr>
        <w:pStyle w:val="Bullet"/>
        <w:rPr>
          <w:rFonts w:eastAsia="Arial" w:cs="Arial"/>
        </w:rPr>
      </w:pPr>
      <w:r w:rsidRPr="00494430">
        <w:rPr>
          <w:rFonts w:eastAsia="Arial" w:cs="Arial"/>
        </w:rPr>
        <w:t xml:space="preserve">Conduct analysis of collaborative and shared service models to ascertain best practice and lessons learned to inform framework. </w:t>
      </w:r>
    </w:p>
    <w:p w14:paraId="30E4DA8A" w14:textId="101515D7" w:rsidR="00CF0763" w:rsidRPr="00494430" w:rsidRDefault="0A2FE00B" w:rsidP="18708233">
      <w:pPr>
        <w:pStyle w:val="Bullet"/>
        <w:spacing w:line="257" w:lineRule="auto"/>
        <w:rPr>
          <w:rFonts w:eastAsia="Arial" w:cs="Arial"/>
        </w:rPr>
      </w:pPr>
      <w:r w:rsidRPr="00494430">
        <w:rPr>
          <w:rFonts w:eastAsia="Arial" w:cs="Arial"/>
        </w:rPr>
        <w:t>Develop an overarching governance and assurance framework to support the design and delivery of the Transformation through Collaboration Programme</w:t>
      </w:r>
      <w:r w:rsidR="19872F33" w:rsidRPr="00494430">
        <w:rPr>
          <w:rFonts w:eastAsia="Arial" w:cs="Arial"/>
        </w:rPr>
        <w:t>.</w:t>
      </w:r>
    </w:p>
    <w:p w14:paraId="08946276" w14:textId="49C78F94" w:rsidR="00CF0763" w:rsidRPr="00494430" w:rsidRDefault="0A2FE00B" w:rsidP="18708233">
      <w:pPr>
        <w:pStyle w:val="Bullet"/>
        <w:spacing w:line="257" w:lineRule="auto"/>
        <w:rPr>
          <w:rFonts w:eastAsia="Arial" w:cs="Arial"/>
        </w:rPr>
      </w:pPr>
      <w:r w:rsidRPr="00494430">
        <w:rPr>
          <w:rFonts w:eastAsia="Arial" w:cs="Arial"/>
        </w:rPr>
        <w:t xml:space="preserve">Develop a legal risk register linked to proposed models and governance requirements that will include a RAG system in terms of appetite to risk, management, </w:t>
      </w:r>
      <w:r w:rsidR="006E3442" w:rsidRPr="00494430">
        <w:rPr>
          <w:rFonts w:eastAsia="Arial" w:cs="Arial"/>
        </w:rPr>
        <w:t>challenge,</w:t>
      </w:r>
      <w:r w:rsidRPr="00494430">
        <w:rPr>
          <w:rFonts w:eastAsia="Arial" w:cs="Arial"/>
        </w:rPr>
        <w:t xml:space="preserve"> and mitigation</w:t>
      </w:r>
      <w:r w:rsidR="190E764C" w:rsidRPr="00494430">
        <w:rPr>
          <w:rFonts w:eastAsia="Arial" w:cs="Arial"/>
        </w:rPr>
        <w:t>.</w:t>
      </w:r>
    </w:p>
    <w:p w14:paraId="2CE3BAEB" w14:textId="221497DD" w:rsidR="00CF0763" w:rsidRPr="00494430" w:rsidRDefault="0A2FE00B" w:rsidP="18708233">
      <w:pPr>
        <w:pStyle w:val="Bullet"/>
        <w:spacing w:line="257" w:lineRule="auto"/>
        <w:rPr>
          <w:rFonts w:eastAsia="Arial" w:cs="Arial"/>
        </w:rPr>
      </w:pPr>
      <w:r w:rsidRPr="00494430">
        <w:rPr>
          <w:rFonts w:eastAsia="Arial" w:cs="Arial"/>
        </w:rPr>
        <w:t>Consider individual workstream requirements and how an overarching governance and framework would apply.</w:t>
      </w:r>
    </w:p>
    <w:p w14:paraId="6C86741D" w14:textId="4350A726" w:rsidR="00CF0763" w:rsidRPr="00494430" w:rsidRDefault="5F836CE2" w:rsidP="18708233">
      <w:pPr>
        <w:pStyle w:val="Bullet"/>
        <w:spacing w:line="257" w:lineRule="auto"/>
        <w:rPr>
          <w:rFonts w:eastAsia="Arial" w:cs="Arial"/>
        </w:rPr>
      </w:pPr>
      <w:r w:rsidRPr="00494430">
        <w:rPr>
          <w:rFonts w:eastAsia="Arial" w:cs="Arial"/>
        </w:rPr>
        <w:lastRenderedPageBreak/>
        <w:t>Obtain external</w:t>
      </w:r>
      <w:r w:rsidR="0A2FE00B" w:rsidRPr="00494430">
        <w:rPr>
          <w:rFonts w:eastAsia="Arial" w:cs="Arial"/>
        </w:rPr>
        <w:t xml:space="preserve"> legal advice</w:t>
      </w:r>
      <w:r w:rsidR="0AB9DDC6" w:rsidRPr="00494430">
        <w:rPr>
          <w:rFonts w:eastAsia="Arial" w:cs="Arial"/>
        </w:rPr>
        <w:t xml:space="preserve"> to</w:t>
      </w:r>
      <w:r w:rsidR="0A2FE00B" w:rsidRPr="00494430">
        <w:rPr>
          <w:rFonts w:eastAsia="Arial" w:cs="Arial"/>
        </w:rPr>
        <w:t xml:space="preserve"> support develop</w:t>
      </w:r>
      <w:r w:rsidR="3330843E" w:rsidRPr="00494430">
        <w:rPr>
          <w:rFonts w:eastAsia="Arial" w:cs="Arial"/>
        </w:rPr>
        <w:t>ment of</w:t>
      </w:r>
      <w:r w:rsidR="0A2FE00B" w:rsidRPr="00494430">
        <w:rPr>
          <w:rFonts w:eastAsia="Arial" w:cs="Arial"/>
        </w:rPr>
        <w:t xml:space="preserve"> </w:t>
      </w:r>
      <w:r w:rsidR="2B922ADA" w:rsidRPr="00494430">
        <w:rPr>
          <w:rFonts w:eastAsia="Arial" w:cs="Arial"/>
        </w:rPr>
        <w:t>an overarching</w:t>
      </w:r>
      <w:r w:rsidR="0A2FE00B" w:rsidRPr="00494430">
        <w:rPr>
          <w:rFonts w:eastAsia="Arial" w:cs="Arial"/>
        </w:rPr>
        <w:t xml:space="preserve"> framework.</w:t>
      </w:r>
    </w:p>
    <w:p w14:paraId="0A68F78F" w14:textId="5571027C" w:rsidR="00CF0763" w:rsidRPr="00494430" w:rsidRDefault="0A2FE00B" w:rsidP="18708233">
      <w:pPr>
        <w:pStyle w:val="Bullet"/>
        <w:spacing w:line="257" w:lineRule="auto"/>
        <w:rPr>
          <w:rFonts w:eastAsia="Arial" w:cs="Arial"/>
        </w:rPr>
      </w:pPr>
      <w:r w:rsidRPr="00494430">
        <w:rPr>
          <w:rFonts w:eastAsia="Arial" w:cs="Arial"/>
        </w:rPr>
        <w:t>Consider Elected Member governance implications and structure.</w:t>
      </w:r>
    </w:p>
    <w:p w14:paraId="09318282" w14:textId="7CDBD38A" w:rsidR="00CF0763" w:rsidRPr="00494430" w:rsidRDefault="0A2FE00B" w:rsidP="18708233">
      <w:pPr>
        <w:pStyle w:val="Bullet"/>
        <w:spacing w:line="257" w:lineRule="auto"/>
        <w:rPr>
          <w:rFonts w:eastAsia="Arial" w:cs="Arial"/>
        </w:rPr>
      </w:pPr>
      <w:r w:rsidRPr="00494430">
        <w:rPr>
          <w:rFonts w:eastAsia="Arial" w:cs="Arial"/>
        </w:rPr>
        <w:t>Consider Employee implications of new operating models.</w:t>
      </w:r>
    </w:p>
    <w:p w14:paraId="2B6267F6" w14:textId="63C664BD" w:rsidR="00CF0763" w:rsidRPr="00494430" w:rsidRDefault="0A2FE00B" w:rsidP="18708233">
      <w:pPr>
        <w:pStyle w:val="Bullet"/>
        <w:spacing w:line="257" w:lineRule="auto"/>
        <w:rPr>
          <w:rFonts w:eastAsia="Arial" w:cs="Arial"/>
        </w:rPr>
      </w:pPr>
      <w:r w:rsidRPr="00494430">
        <w:rPr>
          <w:rFonts w:eastAsia="Arial" w:cs="Arial"/>
        </w:rPr>
        <w:t>18-month review of framework and models</w:t>
      </w:r>
      <w:r w:rsidR="006E3442" w:rsidRPr="00494430">
        <w:rPr>
          <w:rFonts w:eastAsia="Arial" w:cs="Arial"/>
        </w:rPr>
        <w:t xml:space="preserve">.  </w:t>
      </w:r>
      <w:r w:rsidRPr="00494430">
        <w:rPr>
          <w:rFonts w:eastAsia="Arial" w:cs="Arial"/>
        </w:rPr>
        <w:t>With a view of integrating lessons learned and updating based on case law</w:t>
      </w:r>
      <w:r w:rsidR="2EF16977" w:rsidRPr="00494430">
        <w:rPr>
          <w:rFonts w:eastAsia="Arial" w:cs="Arial"/>
        </w:rPr>
        <w:t>.</w:t>
      </w:r>
    </w:p>
    <w:tbl>
      <w:tblPr>
        <w:tblW w:w="0" w:type="auto"/>
        <w:tblLook w:val="06A0" w:firstRow="1" w:lastRow="0" w:firstColumn="1" w:lastColumn="0" w:noHBand="1" w:noVBand="1"/>
      </w:tblPr>
      <w:tblGrid>
        <w:gridCol w:w="7905"/>
      </w:tblGrid>
      <w:tr w:rsidR="18708233" w:rsidRPr="00494430" w14:paraId="32CA01B5" w14:textId="77777777" w:rsidTr="18708233">
        <w:trPr>
          <w:trHeight w:val="315"/>
        </w:trPr>
        <w:tc>
          <w:tcPr>
            <w:tcW w:w="7905" w:type="dxa"/>
            <w:tcBorders>
              <w:top w:val="nil"/>
              <w:left w:val="nil"/>
              <w:bottom w:val="nil"/>
              <w:right w:val="nil"/>
            </w:tcBorders>
            <w:tcMar>
              <w:top w:w="15" w:type="dxa"/>
              <w:left w:w="15" w:type="dxa"/>
              <w:right w:w="15" w:type="dxa"/>
            </w:tcMar>
            <w:vAlign w:val="center"/>
          </w:tcPr>
          <w:p w14:paraId="66BADE09" w14:textId="516F43FE" w:rsidR="18708233" w:rsidRPr="00494430" w:rsidRDefault="18708233" w:rsidP="18708233">
            <w:pPr>
              <w:pStyle w:val="Bullet"/>
              <w:rPr>
                <w:rFonts w:eastAsia="Arial" w:cs="Arial"/>
                <w:color w:val="000000" w:themeColor="text1"/>
              </w:rPr>
            </w:pPr>
            <w:r w:rsidRPr="00494430">
              <w:rPr>
                <w:rFonts w:eastAsia="Arial" w:cs="Arial"/>
                <w:color w:val="000000" w:themeColor="text1"/>
              </w:rPr>
              <w:t xml:space="preserve">Developing legal </w:t>
            </w:r>
            <w:r w:rsidR="59838CCD" w:rsidRPr="00494430">
              <w:rPr>
                <w:rFonts w:eastAsia="Arial" w:cs="Arial"/>
                <w:color w:val="000000" w:themeColor="text1"/>
              </w:rPr>
              <w:t>templates</w:t>
            </w:r>
            <w:r w:rsidRPr="00494430">
              <w:rPr>
                <w:rFonts w:eastAsia="Arial" w:cs="Arial"/>
                <w:color w:val="000000" w:themeColor="text1"/>
              </w:rPr>
              <w:t xml:space="preserve"> and all other associated work required to implement agreed model</w:t>
            </w:r>
            <w:r w:rsidR="00472D60" w:rsidRPr="00494430">
              <w:rPr>
                <w:rFonts w:eastAsia="Arial" w:cs="Arial"/>
                <w:color w:val="000000" w:themeColor="text1"/>
              </w:rPr>
              <w:t>s.</w:t>
            </w:r>
          </w:p>
        </w:tc>
      </w:tr>
    </w:tbl>
    <w:p w14:paraId="61198985" w14:textId="211B60E8" w:rsidR="00CF0763" w:rsidRPr="00494430" w:rsidRDefault="00CF0763" w:rsidP="18708233">
      <w:pPr>
        <w:pStyle w:val="Bullet"/>
        <w:numPr>
          <w:ilvl w:val="0"/>
          <w:numId w:val="0"/>
        </w:numPr>
        <w:spacing w:line="257" w:lineRule="auto"/>
        <w:rPr>
          <w:rFonts w:eastAsia="Arial" w:cs="Arial"/>
        </w:rPr>
      </w:pPr>
    </w:p>
    <w:p w14:paraId="07DD84E9" w14:textId="0660B7B6" w:rsidR="007E708B" w:rsidRPr="00494430" w:rsidRDefault="007E708B" w:rsidP="00486767">
      <w:pPr>
        <w:pStyle w:val="Heading1"/>
        <w:tabs>
          <w:tab w:val="left" w:pos="709"/>
        </w:tabs>
      </w:pPr>
      <w:r w:rsidRPr="00494430">
        <w:t>3.</w:t>
      </w:r>
      <w:r w:rsidR="00CF0763" w:rsidRPr="00494430">
        <w:tab/>
      </w:r>
      <w:r w:rsidRPr="00494430">
        <w:t>Scope</w:t>
      </w:r>
    </w:p>
    <w:p w14:paraId="1096DB1E" w14:textId="77777777" w:rsidR="00CF0763" w:rsidRPr="00494430" w:rsidRDefault="00CF0763" w:rsidP="007E708B"/>
    <w:tbl>
      <w:tblPr>
        <w:tblStyle w:val="TableGrid"/>
        <w:tblW w:w="9628" w:type="dxa"/>
        <w:tblInd w:w="704" w:type="dxa"/>
        <w:tblLook w:val="04A0" w:firstRow="1" w:lastRow="0" w:firstColumn="1" w:lastColumn="0" w:noHBand="0" w:noVBand="1"/>
      </w:tblPr>
      <w:tblGrid>
        <w:gridCol w:w="9628"/>
      </w:tblGrid>
      <w:tr w:rsidR="00855077" w:rsidRPr="00494430" w14:paraId="268B964F" w14:textId="77777777" w:rsidTr="50E7F296">
        <w:tc>
          <w:tcPr>
            <w:tcW w:w="9628" w:type="dxa"/>
            <w:shd w:val="clear" w:color="auto" w:fill="3A7C22" w:themeFill="accent6" w:themeFillShade="BF"/>
          </w:tcPr>
          <w:p w14:paraId="5D6C8087" w14:textId="26CE542C" w:rsidR="00855077" w:rsidRPr="00494430" w:rsidRDefault="00855077" w:rsidP="00855077">
            <w:pPr>
              <w:spacing w:before="60" w:after="60"/>
              <w:rPr>
                <w:b/>
                <w:bCs/>
                <w:color w:val="FFFFFF" w:themeColor="background1"/>
              </w:rPr>
            </w:pPr>
            <w:r w:rsidRPr="00494430">
              <w:rPr>
                <w:b/>
                <w:bCs/>
                <w:color w:val="FFFFFF" w:themeColor="background1"/>
              </w:rPr>
              <w:t xml:space="preserve">In </w:t>
            </w:r>
            <w:r w:rsidR="008546D6" w:rsidRPr="00494430">
              <w:rPr>
                <w:b/>
                <w:bCs/>
                <w:color w:val="FFFFFF" w:themeColor="background1"/>
              </w:rPr>
              <w:t>S</w:t>
            </w:r>
            <w:r w:rsidRPr="00494430">
              <w:rPr>
                <w:b/>
                <w:bCs/>
                <w:color w:val="FFFFFF" w:themeColor="background1"/>
              </w:rPr>
              <w:t>cope</w:t>
            </w:r>
          </w:p>
        </w:tc>
      </w:tr>
      <w:tr w:rsidR="00855077" w:rsidRPr="00494430" w14:paraId="542F283E" w14:textId="77777777" w:rsidTr="50E7F296">
        <w:tc>
          <w:tcPr>
            <w:tcW w:w="9628" w:type="dxa"/>
          </w:tcPr>
          <w:p w14:paraId="46EA8C2B" w14:textId="77777777" w:rsidR="00855077" w:rsidRPr="00494430" w:rsidRDefault="00855077" w:rsidP="007E708B">
            <w:pPr>
              <w:rPr>
                <w:u w:val="single"/>
              </w:rPr>
            </w:pPr>
          </w:p>
          <w:p w14:paraId="44168ED6" w14:textId="210C7E1F" w:rsidR="41443F51" w:rsidRPr="00494430" w:rsidRDefault="41443F51" w:rsidP="18708233">
            <w:pPr>
              <w:spacing w:line="257" w:lineRule="auto"/>
              <w:rPr>
                <w:rFonts w:eastAsia="Arial" w:cs="Arial"/>
              </w:rPr>
            </w:pPr>
            <w:r w:rsidRPr="00494430">
              <w:rPr>
                <w:rFonts w:eastAsia="Arial" w:cs="Arial"/>
              </w:rPr>
              <w:t xml:space="preserve">The development of a framework that sets out the assurance and governance requirements specific to the Transformation through </w:t>
            </w:r>
            <w:bookmarkStart w:id="1" w:name="_Int_GS7ovMDg"/>
            <w:r w:rsidRPr="00494430">
              <w:rPr>
                <w:rFonts w:eastAsia="Arial" w:cs="Arial"/>
              </w:rPr>
              <w:t>Collaboration</w:t>
            </w:r>
            <w:bookmarkEnd w:id="1"/>
            <w:r w:rsidRPr="00494430">
              <w:rPr>
                <w:rFonts w:eastAsia="Arial" w:cs="Arial"/>
              </w:rPr>
              <w:t xml:space="preserve"> Programme</w:t>
            </w:r>
            <w:r w:rsidR="006E3442" w:rsidRPr="00494430">
              <w:rPr>
                <w:rFonts w:eastAsia="Arial" w:cs="Arial"/>
              </w:rPr>
              <w:t xml:space="preserve">.  </w:t>
            </w:r>
            <w:r w:rsidRPr="00494430">
              <w:rPr>
                <w:rFonts w:eastAsia="Arial" w:cs="Arial"/>
              </w:rPr>
              <w:t xml:space="preserve">The framework will establish the procedures which partners involved in the delivery of the Programme will follow in relation to decision making and delivery. </w:t>
            </w:r>
          </w:p>
          <w:p w14:paraId="418DCAC3" w14:textId="691F3538" w:rsidR="41443F51" w:rsidRPr="00494430" w:rsidRDefault="41443F51" w:rsidP="18708233">
            <w:pPr>
              <w:pStyle w:val="ListParagraph"/>
              <w:numPr>
                <w:ilvl w:val="1"/>
                <w:numId w:val="3"/>
              </w:numPr>
              <w:spacing w:line="257" w:lineRule="auto"/>
              <w:rPr>
                <w:rFonts w:eastAsia="Arial" w:cs="Arial"/>
              </w:rPr>
            </w:pPr>
            <w:r w:rsidRPr="00494430">
              <w:rPr>
                <w:rFonts w:eastAsia="Arial" w:cs="Arial"/>
              </w:rPr>
              <w:t>The framework will answer baseline questions on shared services in Local Authorities</w:t>
            </w:r>
            <w:r w:rsidR="0096790C" w:rsidRPr="00494430">
              <w:rPr>
                <w:rFonts w:eastAsia="Arial" w:cs="Arial"/>
              </w:rPr>
              <w:t xml:space="preserve">.  </w:t>
            </w:r>
            <w:r w:rsidRPr="00494430">
              <w:rPr>
                <w:rFonts w:eastAsia="Arial" w:cs="Arial"/>
              </w:rPr>
              <w:t>Including legal competency and procurement regulations.</w:t>
            </w:r>
          </w:p>
          <w:p w14:paraId="2E75D779" w14:textId="5D82D60F" w:rsidR="41443F51" w:rsidRPr="00494430" w:rsidRDefault="1639BEF9" w:rsidP="18708233">
            <w:pPr>
              <w:pStyle w:val="ListParagraph"/>
              <w:numPr>
                <w:ilvl w:val="1"/>
                <w:numId w:val="3"/>
              </w:numPr>
              <w:spacing w:line="257" w:lineRule="auto"/>
              <w:rPr>
                <w:rFonts w:eastAsia="Arial" w:cs="Arial"/>
              </w:rPr>
            </w:pPr>
            <w:r w:rsidRPr="00494430">
              <w:rPr>
                <w:rFonts w:eastAsia="Arial" w:cs="Arial"/>
              </w:rPr>
              <w:t xml:space="preserve">A discovery piece will take place to explore collaborative models of working to define the standard shared service models, the </w:t>
            </w:r>
            <w:r w:rsidR="0096790C" w:rsidRPr="00494430">
              <w:rPr>
                <w:rFonts w:eastAsia="Arial" w:cs="Arial"/>
              </w:rPr>
              <w:t>risks,</w:t>
            </w:r>
            <w:r w:rsidRPr="00494430">
              <w:rPr>
                <w:rFonts w:eastAsia="Arial" w:cs="Arial"/>
              </w:rPr>
              <w:t xml:space="preserve"> and benefits to be considered, and the work required to implement the agreed model.</w:t>
            </w:r>
          </w:p>
          <w:p w14:paraId="0DDFC76E" w14:textId="193CDC3B" w:rsidR="18708233" w:rsidRPr="00494430" w:rsidRDefault="18708233" w:rsidP="18708233">
            <w:pPr>
              <w:pStyle w:val="ListParagraph"/>
              <w:spacing w:line="257" w:lineRule="auto"/>
              <w:ind w:left="1440" w:hanging="360"/>
              <w:rPr>
                <w:rFonts w:eastAsia="Arial" w:cs="Arial"/>
              </w:rPr>
            </w:pPr>
          </w:p>
          <w:p w14:paraId="5738D5A6" w14:textId="21FFB6C7" w:rsidR="41443F51" w:rsidRPr="00494430" w:rsidRDefault="1639BEF9" w:rsidP="18708233">
            <w:pPr>
              <w:spacing w:line="257" w:lineRule="auto"/>
              <w:rPr>
                <w:rFonts w:eastAsia="Arial" w:cs="Arial"/>
              </w:rPr>
            </w:pPr>
            <w:r w:rsidRPr="00494430">
              <w:rPr>
                <w:rFonts w:eastAsia="Arial" w:cs="Arial"/>
              </w:rPr>
              <w:t>This workstream will explore legal barriers, including risk together with the rationale in accepting risk, which includes mitigation measures, appetite, impact on challenge</w:t>
            </w:r>
            <w:r w:rsidR="2090BECD" w:rsidRPr="00494430">
              <w:rPr>
                <w:rFonts w:eastAsia="Arial" w:cs="Arial"/>
              </w:rPr>
              <w:t xml:space="preserve">, </w:t>
            </w:r>
            <w:r w:rsidRPr="00494430">
              <w:rPr>
                <w:rFonts w:eastAsia="Arial" w:cs="Arial"/>
              </w:rPr>
              <w:t>ongoing management,</w:t>
            </w:r>
            <w:r w:rsidR="11705E1F" w:rsidRPr="00494430">
              <w:rPr>
                <w:rFonts w:eastAsia="Arial" w:cs="Arial"/>
              </w:rPr>
              <w:t xml:space="preserve"> </w:t>
            </w:r>
            <w:r w:rsidRPr="00494430">
              <w:rPr>
                <w:rFonts w:eastAsia="Arial" w:cs="Arial"/>
              </w:rPr>
              <w:t xml:space="preserve">when adopting </w:t>
            </w:r>
            <w:r w:rsidR="3F89FACF" w:rsidRPr="00494430">
              <w:rPr>
                <w:rFonts w:eastAsia="Arial" w:cs="Arial"/>
              </w:rPr>
              <w:t xml:space="preserve">such proposed </w:t>
            </w:r>
            <w:r w:rsidRPr="00494430">
              <w:rPr>
                <w:rFonts w:eastAsia="Arial" w:cs="Arial"/>
              </w:rPr>
              <w:t>models.</w:t>
            </w:r>
          </w:p>
          <w:p w14:paraId="7ADC2DBF" w14:textId="35B50F5F" w:rsidR="18708233" w:rsidRPr="00494430" w:rsidRDefault="18708233" w:rsidP="18708233">
            <w:pPr>
              <w:spacing w:line="257" w:lineRule="auto"/>
              <w:rPr>
                <w:rFonts w:eastAsia="Arial" w:cs="Arial"/>
              </w:rPr>
            </w:pPr>
          </w:p>
          <w:p w14:paraId="0B6D1719" w14:textId="69C47980" w:rsidR="41443F51" w:rsidRPr="00494430" w:rsidRDefault="1639BEF9" w:rsidP="18708233">
            <w:pPr>
              <w:spacing w:line="257" w:lineRule="auto"/>
              <w:rPr>
                <w:rFonts w:eastAsia="Arial" w:cs="Arial"/>
              </w:rPr>
            </w:pPr>
            <w:r w:rsidRPr="00494430">
              <w:rPr>
                <w:rFonts w:eastAsia="Arial" w:cs="Arial"/>
              </w:rPr>
              <w:t>This workstream will also include Member level governance implications, employee implications of shared service agreements and all associated legal issues that flow from any model</w:t>
            </w:r>
            <w:r w:rsidR="003A541B" w:rsidRPr="00494430">
              <w:rPr>
                <w:rFonts w:eastAsia="Arial" w:cs="Arial"/>
              </w:rPr>
              <w:t>.</w:t>
            </w:r>
          </w:p>
          <w:p w14:paraId="5F672A1F" w14:textId="49E48DB1" w:rsidR="18708233" w:rsidRPr="00494430" w:rsidRDefault="18708233" w:rsidP="18708233">
            <w:pPr>
              <w:spacing w:line="257" w:lineRule="auto"/>
              <w:rPr>
                <w:rFonts w:eastAsia="Arial" w:cs="Arial"/>
              </w:rPr>
            </w:pPr>
          </w:p>
          <w:p w14:paraId="19005477" w14:textId="482AEFEE" w:rsidR="008546D6" w:rsidRPr="00494430" w:rsidRDefault="4A97A273" w:rsidP="003A541B">
            <w:pPr>
              <w:spacing w:line="257" w:lineRule="auto"/>
              <w:rPr>
                <w:rFonts w:eastAsia="Arial" w:cs="Arial"/>
              </w:rPr>
            </w:pPr>
            <w:r w:rsidRPr="00494430">
              <w:rPr>
                <w:rFonts w:eastAsia="Arial" w:cs="Arial"/>
              </w:rPr>
              <w:t>On-going review of framework</w:t>
            </w:r>
            <w:r w:rsidR="00055319" w:rsidRPr="00494430">
              <w:rPr>
                <w:rFonts w:eastAsia="Arial" w:cs="Arial"/>
              </w:rPr>
              <w:t xml:space="preserve">.  </w:t>
            </w:r>
            <w:r w:rsidRPr="00494430">
              <w:rPr>
                <w:rFonts w:eastAsia="Arial" w:cs="Arial"/>
              </w:rPr>
              <w:t>Including models, risk appetite and legal guidance associated</w:t>
            </w:r>
            <w:r w:rsidR="003A541B" w:rsidRPr="00494430">
              <w:rPr>
                <w:rFonts w:eastAsia="Arial" w:cs="Arial"/>
              </w:rPr>
              <w:t>.</w:t>
            </w:r>
          </w:p>
          <w:p w14:paraId="54121151" w14:textId="77777777" w:rsidR="008546D6" w:rsidRPr="00494430" w:rsidRDefault="008546D6" w:rsidP="007E708B">
            <w:pPr>
              <w:rPr>
                <w:u w:val="single"/>
              </w:rPr>
            </w:pPr>
          </w:p>
        </w:tc>
      </w:tr>
      <w:tr w:rsidR="00855077" w:rsidRPr="00494430" w14:paraId="7C5FC537" w14:textId="77777777" w:rsidTr="50E7F296">
        <w:tc>
          <w:tcPr>
            <w:tcW w:w="9628" w:type="dxa"/>
            <w:shd w:val="clear" w:color="auto" w:fill="3A7C22" w:themeFill="accent6" w:themeFillShade="BF"/>
          </w:tcPr>
          <w:p w14:paraId="3027A7DE" w14:textId="29E8B62F" w:rsidR="00855077" w:rsidRPr="00494430" w:rsidRDefault="008546D6" w:rsidP="00855077">
            <w:pPr>
              <w:spacing w:before="60" w:after="60"/>
              <w:rPr>
                <w:b/>
                <w:bCs/>
                <w:color w:val="FFFFFF" w:themeColor="background1"/>
              </w:rPr>
            </w:pPr>
            <w:r w:rsidRPr="00494430">
              <w:rPr>
                <w:b/>
                <w:bCs/>
                <w:color w:val="FFFFFF" w:themeColor="background1"/>
              </w:rPr>
              <w:t>Out of Scope</w:t>
            </w:r>
          </w:p>
        </w:tc>
      </w:tr>
      <w:tr w:rsidR="00855077" w:rsidRPr="00494430" w14:paraId="6C607553" w14:textId="77777777" w:rsidTr="50E7F296">
        <w:tc>
          <w:tcPr>
            <w:tcW w:w="9628" w:type="dxa"/>
          </w:tcPr>
          <w:p w14:paraId="08E7444E" w14:textId="1D701C5F" w:rsidR="008546D6" w:rsidRPr="00494430" w:rsidRDefault="43668EF6" w:rsidP="18708233">
            <w:pPr>
              <w:pStyle w:val="ListParagraph"/>
              <w:numPr>
                <w:ilvl w:val="0"/>
                <w:numId w:val="2"/>
              </w:numPr>
              <w:spacing w:line="257" w:lineRule="auto"/>
              <w:rPr>
                <w:rFonts w:eastAsia="Arial" w:cs="Arial"/>
              </w:rPr>
            </w:pPr>
            <w:r w:rsidRPr="00494430">
              <w:rPr>
                <w:rFonts w:eastAsia="Arial" w:cs="Arial"/>
              </w:rPr>
              <w:t xml:space="preserve">Legal challenges not identified through discovery </w:t>
            </w:r>
            <w:r w:rsidR="00E37101" w:rsidRPr="00494430">
              <w:rPr>
                <w:rFonts w:eastAsia="Arial" w:cs="Arial"/>
              </w:rPr>
              <w:t>phase.</w:t>
            </w:r>
          </w:p>
          <w:p w14:paraId="2F9781FF" w14:textId="5E697AA4" w:rsidR="008546D6" w:rsidRPr="00494430" w:rsidRDefault="43668EF6" w:rsidP="18708233">
            <w:pPr>
              <w:pStyle w:val="ListParagraph"/>
              <w:numPr>
                <w:ilvl w:val="0"/>
                <w:numId w:val="2"/>
              </w:numPr>
              <w:spacing w:line="257" w:lineRule="auto"/>
              <w:rPr>
                <w:rFonts w:eastAsia="Arial" w:cs="Arial"/>
              </w:rPr>
            </w:pPr>
            <w:r w:rsidRPr="00494430">
              <w:rPr>
                <w:rFonts w:eastAsia="Arial" w:cs="Arial"/>
              </w:rPr>
              <w:t xml:space="preserve">Governance functions will not be </w:t>
            </w:r>
            <w:r w:rsidR="00E37101" w:rsidRPr="00494430">
              <w:rPr>
                <w:rFonts w:eastAsia="Arial" w:cs="Arial"/>
              </w:rPr>
              <w:t>merged.</w:t>
            </w:r>
          </w:p>
          <w:p w14:paraId="256542DD" w14:textId="5847644D" w:rsidR="008546D6" w:rsidRPr="00494430" w:rsidRDefault="43668EF6" w:rsidP="18708233">
            <w:pPr>
              <w:pStyle w:val="ListParagraph"/>
              <w:numPr>
                <w:ilvl w:val="0"/>
                <w:numId w:val="2"/>
              </w:numPr>
              <w:spacing w:line="257" w:lineRule="auto"/>
              <w:rPr>
                <w:rFonts w:eastAsia="Arial" w:cs="Arial"/>
              </w:rPr>
            </w:pPr>
            <w:r w:rsidRPr="00494430">
              <w:rPr>
                <w:rFonts w:eastAsia="Arial" w:cs="Arial"/>
              </w:rPr>
              <w:t>Day to day legal assistance</w:t>
            </w:r>
          </w:p>
          <w:p w14:paraId="011DB975" w14:textId="6DFCF1CF" w:rsidR="008546D6" w:rsidRPr="00494430" w:rsidRDefault="008546D6" w:rsidP="18708233">
            <w:pPr>
              <w:rPr>
                <w:u w:val="single"/>
              </w:rPr>
            </w:pPr>
          </w:p>
        </w:tc>
      </w:tr>
    </w:tbl>
    <w:p w14:paraId="2CF3B748" w14:textId="77777777" w:rsidR="00855077" w:rsidRPr="00494430" w:rsidRDefault="00855077" w:rsidP="007E708B">
      <w:pPr>
        <w:rPr>
          <w:u w:val="single"/>
        </w:rPr>
      </w:pPr>
    </w:p>
    <w:p w14:paraId="5CA359B3" w14:textId="6C29F447" w:rsidR="18708233" w:rsidRPr="00494430" w:rsidRDefault="18708233" w:rsidP="18708233"/>
    <w:p w14:paraId="5BA70ABD" w14:textId="7876395C" w:rsidR="007E708B" w:rsidRPr="00494430" w:rsidRDefault="007E708B" w:rsidP="00486767">
      <w:pPr>
        <w:pStyle w:val="Heading1"/>
        <w:tabs>
          <w:tab w:val="left" w:pos="709"/>
        </w:tabs>
      </w:pPr>
      <w:r w:rsidRPr="00494430">
        <w:t>4.</w:t>
      </w:r>
      <w:r w:rsidR="007560F4" w:rsidRPr="00494430">
        <w:tab/>
      </w:r>
      <w:r w:rsidRPr="00494430">
        <w:t>Design Principles</w:t>
      </w:r>
    </w:p>
    <w:p w14:paraId="4E05BB41" w14:textId="77777777" w:rsidR="007560F4" w:rsidRPr="00494430" w:rsidRDefault="007560F4" w:rsidP="007560F4"/>
    <w:p w14:paraId="3253C968" w14:textId="77777777" w:rsidR="007E708B" w:rsidRPr="00494430" w:rsidRDefault="007E708B" w:rsidP="007C7C48">
      <w:pPr>
        <w:pStyle w:val="Bullet"/>
        <w:ind w:left="1418"/>
      </w:pPr>
      <w:r w:rsidRPr="00494430">
        <w:t>Scalable – the model should be able to be scaled up beyond the initial two partner Councils to enable other Councils to join for a wider partnership</w:t>
      </w:r>
    </w:p>
    <w:p w14:paraId="53625EF7" w14:textId="77777777" w:rsidR="007E708B" w:rsidRPr="00494430" w:rsidRDefault="007E708B" w:rsidP="007C7C48">
      <w:pPr>
        <w:pStyle w:val="Bullet"/>
        <w:ind w:left="1418"/>
      </w:pPr>
      <w:r w:rsidRPr="00494430">
        <w:t>Significant – the approach to collaboration must provide significant and measurable financial benefits which outweigh the cost of implementation</w:t>
      </w:r>
    </w:p>
    <w:p w14:paraId="7FE20ECE" w14:textId="77777777" w:rsidR="007E708B" w:rsidRPr="00494430" w:rsidRDefault="007E708B" w:rsidP="007C7C48">
      <w:pPr>
        <w:pStyle w:val="Bullet"/>
        <w:ind w:left="1418"/>
      </w:pPr>
      <w:r w:rsidRPr="00494430">
        <w:t>Flexible and form agnostic – any model should be flexible enough to adapt to change over time</w:t>
      </w:r>
    </w:p>
    <w:p w14:paraId="1E5EF650" w14:textId="77777777" w:rsidR="007E708B" w:rsidRPr="00494430" w:rsidRDefault="007E708B" w:rsidP="007C7C48">
      <w:pPr>
        <w:pStyle w:val="Bullet"/>
        <w:ind w:left="1418"/>
      </w:pPr>
      <w:r w:rsidRPr="00494430">
        <w:lastRenderedPageBreak/>
        <w:t>Proven outcomes for communities – there should be benefits to the community we serve either through improved services or through the release of expenditure which can support higher priority services</w:t>
      </w:r>
    </w:p>
    <w:p w14:paraId="3C1C301B" w14:textId="77777777" w:rsidR="007E708B" w:rsidRPr="00494430" w:rsidRDefault="007E708B" w:rsidP="007C7C48">
      <w:pPr>
        <w:pStyle w:val="Bullet"/>
        <w:ind w:left="1418"/>
      </w:pPr>
      <w:r w:rsidRPr="00494430">
        <w:t>Strategically aligned – there should be an alignment to the goals of the partner Councils</w:t>
      </w:r>
    </w:p>
    <w:p w14:paraId="206E5BDE" w14:textId="77777777" w:rsidR="007E708B" w:rsidRPr="00494430" w:rsidRDefault="007E708B" w:rsidP="007C7C48">
      <w:pPr>
        <w:pStyle w:val="Bullet"/>
        <w:ind w:left="1418"/>
      </w:pPr>
      <w:r w:rsidRPr="00494430">
        <w:t>Sustainable – the approach taken must be future proofed to ensure long term success</w:t>
      </w:r>
    </w:p>
    <w:p w14:paraId="44C7283E" w14:textId="77777777" w:rsidR="007E708B" w:rsidRPr="00494430" w:rsidRDefault="007E708B" w:rsidP="007C7C48">
      <w:pPr>
        <w:pStyle w:val="Bullet"/>
        <w:ind w:left="1418"/>
      </w:pPr>
      <w:r w:rsidRPr="00494430">
        <w:t xml:space="preserve">Transformative and ambitious – continuous improvement and innovation must drive the model forward, and focus on digital by default where applicable </w:t>
      </w:r>
    </w:p>
    <w:p w14:paraId="275FAF23" w14:textId="77777777" w:rsidR="007E708B" w:rsidRPr="00494430" w:rsidRDefault="007E708B" w:rsidP="007C7C48">
      <w:pPr>
        <w:pStyle w:val="Bullet"/>
        <w:ind w:left="1418"/>
      </w:pPr>
      <w:r w:rsidRPr="00494430">
        <w:t>Fair and equitable – the approach must deliver benefits for partner Councils in proportion to their resources and investment given the likely disparity in size of Councils.</w:t>
      </w:r>
    </w:p>
    <w:p w14:paraId="1CCE98AD" w14:textId="77777777" w:rsidR="007E708B" w:rsidRPr="00494430" w:rsidRDefault="007E708B" w:rsidP="007E708B"/>
    <w:p w14:paraId="1A31CD68" w14:textId="7F1727C9" w:rsidR="00AD7057" w:rsidRPr="00494430" w:rsidRDefault="3B62F17F" w:rsidP="007E708B">
      <w:r w:rsidRPr="00494430">
        <w:t>Please indicate below how this workstream aims to achieve the above noted design principles:</w:t>
      </w:r>
    </w:p>
    <w:p w14:paraId="1A6A3767" w14:textId="77777777" w:rsidR="003A541B" w:rsidRPr="00494430" w:rsidRDefault="003A541B">
      <w:pPr>
        <w:spacing w:after="160" w:line="278" w:lineRule="auto"/>
      </w:pPr>
    </w:p>
    <w:tbl>
      <w:tblPr>
        <w:tblStyle w:val="TableGrid"/>
        <w:tblW w:w="9628" w:type="dxa"/>
        <w:tblInd w:w="704" w:type="dxa"/>
        <w:tblLook w:val="04A0" w:firstRow="1" w:lastRow="0" w:firstColumn="1" w:lastColumn="0" w:noHBand="0" w:noVBand="1"/>
      </w:tblPr>
      <w:tblGrid>
        <w:gridCol w:w="9628"/>
      </w:tblGrid>
      <w:tr w:rsidR="00AD7057" w:rsidRPr="00494430" w14:paraId="7E92BBBF" w14:textId="77777777" w:rsidTr="18708233">
        <w:trPr>
          <w:trHeight w:val="300"/>
        </w:trPr>
        <w:tc>
          <w:tcPr>
            <w:tcW w:w="9628" w:type="dxa"/>
            <w:shd w:val="clear" w:color="auto" w:fill="3A7C22" w:themeFill="accent6" w:themeFillShade="BF"/>
          </w:tcPr>
          <w:p w14:paraId="09AE4B7D" w14:textId="124CC031" w:rsidR="00AD7057" w:rsidRPr="00494430" w:rsidRDefault="3B62F17F" w:rsidP="00AE761C">
            <w:pPr>
              <w:spacing w:before="60" w:after="60"/>
              <w:rPr>
                <w:b/>
                <w:bCs/>
                <w:color w:val="FFFFFF" w:themeColor="background1"/>
              </w:rPr>
            </w:pPr>
            <w:r w:rsidRPr="00494430">
              <w:rPr>
                <w:b/>
                <w:bCs/>
                <w:color w:val="FFFFFF" w:themeColor="background1"/>
              </w:rPr>
              <w:t>Scalable</w:t>
            </w:r>
          </w:p>
        </w:tc>
      </w:tr>
      <w:tr w:rsidR="00AD7057" w:rsidRPr="00494430" w14:paraId="11734D96" w14:textId="77777777" w:rsidTr="18708233">
        <w:trPr>
          <w:trHeight w:val="300"/>
        </w:trPr>
        <w:tc>
          <w:tcPr>
            <w:tcW w:w="9628" w:type="dxa"/>
          </w:tcPr>
          <w:p w14:paraId="61114D4F" w14:textId="2647CF1D" w:rsidR="00AD7057" w:rsidRPr="00494430" w:rsidRDefault="05B90C5F" w:rsidP="18708233">
            <w:r w:rsidRPr="00494430">
              <w:t xml:space="preserve">This workstream is scalable </w:t>
            </w:r>
            <w:r w:rsidR="5E6C197D" w:rsidRPr="00494430">
              <w:t>and presents an opportunity for other partner organisations to participate if required.</w:t>
            </w:r>
          </w:p>
          <w:p w14:paraId="6FCFC988" w14:textId="77777777" w:rsidR="00AD7057" w:rsidRPr="00494430" w:rsidRDefault="00AD7057" w:rsidP="00AE761C">
            <w:pPr>
              <w:rPr>
                <w:u w:val="single"/>
              </w:rPr>
            </w:pPr>
          </w:p>
        </w:tc>
      </w:tr>
      <w:tr w:rsidR="00AD7057" w:rsidRPr="00494430" w14:paraId="76BA01BF" w14:textId="77777777" w:rsidTr="18708233">
        <w:trPr>
          <w:trHeight w:val="300"/>
        </w:trPr>
        <w:tc>
          <w:tcPr>
            <w:tcW w:w="9628" w:type="dxa"/>
            <w:shd w:val="clear" w:color="auto" w:fill="3A7C22" w:themeFill="accent6" w:themeFillShade="BF"/>
          </w:tcPr>
          <w:p w14:paraId="0F742B9E" w14:textId="74BBF2CA" w:rsidR="00AD7057" w:rsidRPr="00494430" w:rsidRDefault="3B62F17F" w:rsidP="00AE761C">
            <w:pPr>
              <w:spacing w:before="60" w:after="60"/>
              <w:rPr>
                <w:b/>
                <w:bCs/>
                <w:color w:val="FFFFFF" w:themeColor="background1"/>
              </w:rPr>
            </w:pPr>
            <w:r w:rsidRPr="00494430">
              <w:rPr>
                <w:b/>
                <w:bCs/>
                <w:color w:val="FFFFFF" w:themeColor="background1"/>
              </w:rPr>
              <w:t xml:space="preserve">Significant </w:t>
            </w:r>
          </w:p>
        </w:tc>
      </w:tr>
      <w:tr w:rsidR="00AD7057" w:rsidRPr="00494430" w14:paraId="641CC6D6" w14:textId="77777777" w:rsidTr="18708233">
        <w:trPr>
          <w:trHeight w:val="300"/>
        </w:trPr>
        <w:tc>
          <w:tcPr>
            <w:tcW w:w="9628" w:type="dxa"/>
          </w:tcPr>
          <w:p w14:paraId="58E1E2D0" w14:textId="77777777" w:rsidR="00AD7057" w:rsidRPr="00494430" w:rsidRDefault="00AD7057" w:rsidP="00AE761C">
            <w:pPr>
              <w:rPr>
                <w:u w:val="single"/>
              </w:rPr>
            </w:pPr>
          </w:p>
          <w:p w14:paraId="6CC72B17" w14:textId="24E061B4" w:rsidR="00AD7057" w:rsidRPr="00494430" w:rsidRDefault="327BA029" w:rsidP="18708233">
            <w:r w:rsidRPr="00494430">
              <w:t xml:space="preserve">This workstream is significant as it provides the necessary foundations </w:t>
            </w:r>
            <w:r w:rsidR="0377FC37" w:rsidRPr="00494430">
              <w:t xml:space="preserve">including legal assurance, </w:t>
            </w:r>
            <w:r w:rsidR="00055319" w:rsidRPr="00494430">
              <w:t>risks,</w:t>
            </w:r>
            <w:r w:rsidR="0377FC37" w:rsidRPr="00494430">
              <w:t xml:space="preserve"> and benefits to be considered for shared service models</w:t>
            </w:r>
            <w:r w:rsidR="00055319" w:rsidRPr="00494430">
              <w:t xml:space="preserve">.  </w:t>
            </w:r>
            <w:r w:rsidR="0377FC37" w:rsidRPr="00494430">
              <w:t>Allowing the programme to progress at pace.</w:t>
            </w:r>
          </w:p>
          <w:p w14:paraId="2FCCEFEB" w14:textId="77777777" w:rsidR="00AD7057" w:rsidRPr="00494430" w:rsidRDefault="00AD7057" w:rsidP="00AE761C">
            <w:pPr>
              <w:rPr>
                <w:u w:val="single"/>
              </w:rPr>
            </w:pPr>
          </w:p>
        </w:tc>
      </w:tr>
      <w:tr w:rsidR="00D6359E" w:rsidRPr="00494430" w14:paraId="25435C8D" w14:textId="77777777" w:rsidTr="18708233">
        <w:trPr>
          <w:trHeight w:val="300"/>
        </w:trPr>
        <w:tc>
          <w:tcPr>
            <w:tcW w:w="9628" w:type="dxa"/>
            <w:shd w:val="clear" w:color="auto" w:fill="3A7C22" w:themeFill="accent6" w:themeFillShade="BF"/>
          </w:tcPr>
          <w:p w14:paraId="23E863A4" w14:textId="20DAC202" w:rsidR="00D6359E" w:rsidRPr="00494430" w:rsidRDefault="3B62F17F" w:rsidP="000832C0">
            <w:pPr>
              <w:spacing w:before="60" w:after="60"/>
              <w:rPr>
                <w:b/>
                <w:bCs/>
              </w:rPr>
            </w:pPr>
            <w:r w:rsidRPr="00494430">
              <w:rPr>
                <w:b/>
                <w:bCs/>
                <w:color w:val="FFFFFF" w:themeColor="background1"/>
              </w:rPr>
              <w:t xml:space="preserve">Flexible and </w:t>
            </w:r>
            <w:r w:rsidR="00A54FDF" w:rsidRPr="00494430">
              <w:rPr>
                <w:b/>
                <w:bCs/>
                <w:color w:val="FFFFFF" w:themeColor="background1"/>
              </w:rPr>
              <w:t>F</w:t>
            </w:r>
            <w:r w:rsidRPr="00494430">
              <w:rPr>
                <w:b/>
                <w:bCs/>
                <w:color w:val="FFFFFF" w:themeColor="background1"/>
              </w:rPr>
              <w:t xml:space="preserve">orm </w:t>
            </w:r>
            <w:r w:rsidR="00A54FDF" w:rsidRPr="00494430">
              <w:rPr>
                <w:b/>
                <w:bCs/>
                <w:color w:val="FFFFFF" w:themeColor="background1"/>
              </w:rPr>
              <w:t>A</w:t>
            </w:r>
            <w:r w:rsidRPr="00494430">
              <w:rPr>
                <w:b/>
                <w:bCs/>
                <w:color w:val="FFFFFF" w:themeColor="background1"/>
              </w:rPr>
              <w:t>gnostic</w:t>
            </w:r>
          </w:p>
        </w:tc>
      </w:tr>
      <w:tr w:rsidR="00D6359E" w:rsidRPr="00494430" w14:paraId="2368BE0C" w14:textId="77777777" w:rsidTr="18708233">
        <w:trPr>
          <w:trHeight w:val="300"/>
        </w:trPr>
        <w:tc>
          <w:tcPr>
            <w:tcW w:w="9628" w:type="dxa"/>
          </w:tcPr>
          <w:p w14:paraId="4B4F129B" w14:textId="5BE678B0" w:rsidR="00D6359E" w:rsidRPr="00494430" w:rsidRDefault="5CD02AB3" w:rsidP="18708233">
            <w:pPr>
              <w:rPr>
                <w:rFonts w:eastAsia="Arial" w:cs="Arial"/>
                <w:color w:val="000000" w:themeColor="text1"/>
              </w:rPr>
            </w:pPr>
            <w:r w:rsidRPr="00494430">
              <w:t xml:space="preserve">This workstream will </w:t>
            </w:r>
            <w:r w:rsidRPr="00494430">
              <w:rPr>
                <w:rFonts w:eastAsia="Arial" w:cs="Arial"/>
                <w:color w:val="000000" w:themeColor="text1"/>
              </w:rPr>
              <w:t xml:space="preserve">ensure that flexibility and adaptability are </w:t>
            </w:r>
            <w:r w:rsidR="194B519E" w:rsidRPr="00494430">
              <w:rPr>
                <w:rFonts w:eastAsia="Arial" w:cs="Arial"/>
                <w:color w:val="000000" w:themeColor="text1"/>
              </w:rPr>
              <w:t>integral;</w:t>
            </w:r>
            <w:r w:rsidRPr="00494430">
              <w:rPr>
                <w:rFonts w:eastAsia="Arial" w:cs="Arial"/>
                <w:color w:val="000000" w:themeColor="text1"/>
              </w:rPr>
              <w:t xml:space="preserve"> this is especially import</w:t>
            </w:r>
            <w:r w:rsidR="1EFF10A7" w:rsidRPr="00494430">
              <w:rPr>
                <w:rFonts w:eastAsia="Arial" w:cs="Arial"/>
                <w:color w:val="000000" w:themeColor="text1"/>
              </w:rPr>
              <w:t xml:space="preserve">ant </w:t>
            </w:r>
            <w:r w:rsidRPr="00494430">
              <w:rPr>
                <w:rFonts w:eastAsia="Arial" w:cs="Arial"/>
                <w:color w:val="000000" w:themeColor="text1"/>
              </w:rPr>
              <w:t>given the various require</w:t>
            </w:r>
            <w:r w:rsidR="643935EB" w:rsidRPr="00494430">
              <w:rPr>
                <w:rFonts w:eastAsia="Arial" w:cs="Arial"/>
                <w:color w:val="000000" w:themeColor="text1"/>
              </w:rPr>
              <w:t>ments of other individual workstreams within the Programme.</w:t>
            </w:r>
          </w:p>
          <w:p w14:paraId="6297CAC5" w14:textId="77777777" w:rsidR="00D6359E" w:rsidRPr="00494430" w:rsidRDefault="00D6359E" w:rsidP="00AE761C">
            <w:pPr>
              <w:rPr>
                <w:b/>
                <w:bCs/>
                <w:u w:val="single"/>
              </w:rPr>
            </w:pPr>
          </w:p>
          <w:p w14:paraId="3EAA3965" w14:textId="77777777" w:rsidR="00D6359E" w:rsidRPr="00494430" w:rsidRDefault="00D6359E" w:rsidP="00AE761C">
            <w:pPr>
              <w:rPr>
                <w:b/>
                <w:bCs/>
                <w:u w:val="single"/>
              </w:rPr>
            </w:pPr>
          </w:p>
        </w:tc>
      </w:tr>
      <w:tr w:rsidR="00D6359E" w:rsidRPr="00494430" w14:paraId="46A71D0F" w14:textId="77777777" w:rsidTr="18708233">
        <w:trPr>
          <w:trHeight w:val="300"/>
        </w:trPr>
        <w:tc>
          <w:tcPr>
            <w:tcW w:w="9628" w:type="dxa"/>
            <w:shd w:val="clear" w:color="auto" w:fill="3A7C22" w:themeFill="accent6" w:themeFillShade="BF"/>
          </w:tcPr>
          <w:p w14:paraId="17C39E93" w14:textId="3A83DCEF" w:rsidR="00D6359E" w:rsidRPr="00494430" w:rsidRDefault="3B62F17F" w:rsidP="000832C0">
            <w:pPr>
              <w:spacing w:before="60" w:after="60"/>
              <w:rPr>
                <w:b/>
                <w:bCs/>
              </w:rPr>
            </w:pPr>
            <w:r w:rsidRPr="00494430">
              <w:rPr>
                <w:b/>
                <w:bCs/>
                <w:color w:val="FFFFFF" w:themeColor="background1"/>
              </w:rPr>
              <w:t xml:space="preserve">Proven </w:t>
            </w:r>
            <w:r w:rsidR="00A54FDF" w:rsidRPr="00494430">
              <w:rPr>
                <w:b/>
                <w:bCs/>
                <w:color w:val="FFFFFF" w:themeColor="background1"/>
              </w:rPr>
              <w:t>O</w:t>
            </w:r>
            <w:r w:rsidRPr="00494430">
              <w:rPr>
                <w:b/>
                <w:bCs/>
                <w:color w:val="FFFFFF" w:themeColor="background1"/>
              </w:rPr>
              <w:t>utcomes for</w:t>
            </w:r>
            <w:r w:rsidR="00A54FDF" w:rsidRPr="00494430">
              <w:rPr>
                <w:b/>
                <w:bCs/>
                <w:color w:val="FFFFFF" w:themeColor="background1"/>
              </w:rPr>
              <w:t xml:space="preserve"> C</w:t>
            </w:r>
            <w:r w:rsidRPr="00494430">
              <w:rPr>
                <w:b/>
                <w:bCs/>
                <w:color w:val="FFFFFF" w:themeColor="background1"/>
              </w:rPr>
              <w:t>ommunities</w:t>
            </w:r>
          </w:p>
        </w:tc>
      </w:tr>
      <w:tr w:rsidR="00D6359E" w:rsidRPr="00494430" w14:paraId="10C15F95" w14:textId="77777777" w:rsidTr="18708233">
        <w:trPr>
          <w:trHeight w:val="300"/>
        </w:trPr>
        <w:tc>
          <w:tcPr>
            <w:tcW w:w="9628" w:type="dxa"/>
          </w:tcPr>
          <w:p w14:paraId="45BAC94A" w14:textId="77777777" w:rsidR="00D6359E" w:rsidRPr="00494430" w:rsidRDefault="00D6359E" w:rsidP="18708233">
            <w:pPr>
              <w:rPr>
                <w:rFonts w:eastAsia="Arial" w:cs="Arial"/>
              </w:rPr>
            </w:pPr>
          </w:p>
          <w:p w14:paraId="39977D00" w14:textId="4B6AD9B5" w:rsidR="00D6359E" w:rsidRPr="00494430" w:rsidRDefault="0FE25AF0" w:rsidP="18708233">
            <w:pPr>
              <w:rPr>
                <w:rFonts w:eastAsia="Arial" w:cs="Arial"/>
              </w:rPr>
            </w:pPr>
            <w:r w:rsidRPr="00494430">
              <w:rPr>
                <w:rFonts w:eastAsia="Arial" w:cs="Arial"/>
              </w:rPr>
              <w:t>This workstream will provide the</w:t>
            </w:r>
            <w:r w:rsidR="2485B639" w:rsidRPr="00494430">
              <w:rPr>
                <w:rFonts w:eastAsia="Arial" w:cs="Arial"/>
              </w:rPr>
              <w:t xml:space="preserve"> necessary</w:t>
            </w:r>
            <w:r w:rsidRPr="00494430">
              <w:rPr>
                <w:rFonts w:eastAsia="Arial" w:cs="Arial"/>
              </w:rPr>
              <w:t xml:space="preserve"> </w:t>
            </w:r>
            <w:r w:rsidR="6CB071BF" w:rsidRPr="00494430">
              <w:rPr>
                <w:rFonts w:eastAsia="Arial" w:cs="Arial"/>
              </w:rPr>
              <w:t>foundations required to support integrated service delivery across partner organisations.</w:t>
            </w:r>
            <w:r w:rsidR="0FBFCA74" w:rsidRPr="00494430">
              <w:rPr>
                <w:rFonts w:eastAsia="Arial" w:cs="Arial"/>
              </w:rPr>
              <w:t xml:space="preserve"> </w:t>
            </w:r>
            <w:r w:rsidR="00702B53" w:rsidRPr="00494430">
              <w:rPr>
                <w:rFonts w:eastAsia="Arial" w:cs="Arial"/>
              </w:rPr>
              <w:t xml:space="preserve"> </w:t>
            </w:r>
            <w:r w:rsidR="0FBFCA74" w:rsidRPr="00494430">
              <w:rPr>
                <w:rFonts w:eastAsia="Arial" w:cs="Arial"/>
              </w:rPr>
              <w:t xml:space="preserve">Which aims to </w:t>
            </w:r>
            <w:r w:rsidR="0FBFCA74" w:rsidRPr="00494430">
              <w:rPr>
                <w:rFonts w:eastAsia="Arial" w:cs="Arial"/>
                <w:color w:val="000000" w:themeColor="text1"/>
              </w:rPr>
              <w:t>improve service delivery and reduce operating costs, benefiting all citizens.</w:t>
            </w:r>
          </w:p>
          <w:p w14:paraId="07778F4E" w14:textId="77777777" w:rsidR="00D6359E" w:rsidRPr="00494430" w:rsidRDefault="00D6359E" w:rsidP="00AE761C">
            <w:pPr>
              <w:rPr>
                <w:b/>
                <w:bCs/>
              </w:rPr>
            </w:pPr>
          </w:p>
        </w:tc>
      </w:tr>
      <w:tr w:rsidR="00D6359E" w:rsidRPr="00494430" w14:paraId="7A2D48D2" w14:textId="77777777" w:rsidTr="18708233">
        <w:trPr>
          <w:trHeight w:val="300"/>
        </w:trPr>
        <w:tc>
          <w:tcPr>
            <w:tcW w:w="9628" w:type="dxa"/>
            <w:shd w:val="clear" w:color="auto" w:fill="3A7C22" w:themeFill="accent6" w:themeFillShade="BF"/>
          </w:tcPr>
          <w:p w14:paraId="3B0CEEAD" w14:textId="244CD1DD" w:rsidR="00D6359E" w:rsidRPr="00494430" w:rsidRDefault="3B62F17F" w:rsidP="000832C0">
            <w:pPr>
              <w:spacing w:before="60" w:after="60"/>
              <w:rPr>
                <w:b/>
                <w:bCs/>
              </w:rPr>
            </w:pPr>
            <w:r w:rsidRPr="00494430">
              <w:rPr>
                <w:b/>
                <w:bCs/>
                <w:color w:val="FFFFFF" w:themeColor="background1"/>
              </w:rPr>
              <w:t xml:space="preserve">Strategically </w:t>
            </w:r>
            <w:r w:rsidR="00A54FDF" w:rsidRPr="00494430">
              <w:rPr>
                <w:b/>
                <w:bCs/>
                <w:color w:val="FFFFFF" w:themeColor="background1"/>
              </w:rPr>
              <w:t>A</w:t>
            </w:r>
            <w:r w:rsidRPr="00494430">
              <w:rPr>
                <w:b/>
                <w:bCs/>
                <w:color w:val="FFFFFF" w:themeColor="background1"/>
              </w:rPr>
              <w:t>ligned</w:t>
            </w:r>
          </w:p>
        </w:tc>
      </w:tr>
      <w:tr w:rsidR="00D6359E" w:rsidRPr="00494430" w14:paraId="447F256F" w14:textId="77777777" w:rsidTr="18708233">
        <w:trPr>
          <w:trHeight w:val="300"/>
        </w:trPr>
        <w:tc>
          <w:tcPr>
            <w:tcW w:w="9628" w:type="dxa"/>
          </w:tcPr>
          <w:p w14:paraId="15F96EF1" w14:textId="77777777" w:rsidR="00D6359E" w:rsidRPr="00494430" w:rsidRDefault="00D6359E" w:rsidP="00AE761C">
            <w:pPr>
              <w:rPr>
                <w:b/>
                <w:bCs/>
              </w:rPr>
            </w:pPr>
          </w:p>
          <w:p w14:paraId="40B6AD49" w14:textId="2B6A50CB" w:rsidR="00D6359E" w:rsidRPr="00494430" w:rsidRDefault="4A104179" w:rsidP="18708233">
            <w:pPr>
              <w:rPr>
                <w:rFonts w:eastAsia="Arial" w:cs="Arial"/>
              </w:rPr>
            </w:pPr>
            <w:r w:rsidRPr="00494430">
              <w:rPr>
                <w:rFonts w:eastAsia="Arial" w:cs="Arial"/>
              </w:rPr>
              <w:t xml:space="preserve">The Governance workstream strongly aligns with the aims of both Falkirk Council and Clackmannanshire Council by </w:t>
            </w:r>
            <w:r w:rsidR="5F0026E6" w:rsidRPr="00494430">
              <w:rPr>
                <w:rFonts w:eastAsia="Arial" w:cs="Arial"/>
              </w:rPr>
              <w:t xml:space="preserve">establishing a framework that informs the development, decision </w:t>
            </w:r>
            <w:r w:rsidR="00055319" w:rsidRPr="00494430">
              <w:rPr>
                <w:rFonts w:eastAsia="Arial" w:cs="Arial"/>
              </w:rPr>
              <w:t>making,</w:t>
            </w:r>
            <w:r w:rsidR="5F0026E6" w:rsidRPr="00494430">
              <w:rPr>
                <w:rFonts w:eastAsia="Arial" w:cs="Arial"/>
              </w:rPr>
              <w:t xml:space="preserve"> and delivery of the Programme</w:t>
            </w:r>
            <w:r w:rsidR="00055319" w:rsidRPr="00494430">
              <w:rPr>
                <w:rFonts w:eastAsia="Arial" w:cs="Arial"/>
              </w:rPr>
              <w:t xml:space="preserve">.  </w:t>
            </w:r>
            <w:r w:rsidR="287DFF19" w:rsidRPr="00494430">
              <w:rPr>
                <w:rFonts w:eastAsia="Arial" w:cs="Arial"/>
              </w:rPr>
              <w:t>Ultimately,</w:t>
            </w:r>
            <w:r w:rsidR="5F0026E6" w:rsidRPr="00494430">
              <w:rPr>
                <w:rFonts w:eastAsia="Arial" w:cs="Arial"/>
              </w:rPr>
              <w:t xml:space="preserve"> ensuring long term </w:t>
            </w:r>
            <w:r w:rsidR="49A0D9AB" w:rsidRPr="00494430">
              <w:rPr>
                <w:rFonts w:eastAsia="Arial" w:cs="Arial"/>
              </w:rPr>
              <w:t xml:space="preserve">goals </w:t>
            </w:r>
            <w:r w:rsidR="0C8D8267" w:rsidRPr="00494430">
              <w:rPr>
                <w:rFonts w:eastAsia="Arial" w:cs="Arial"/>
              </w:rPr>
              <w:t>of financial</w:t>
            </w:r>
            <w:r w:rsidRPr="00494430">
              <w:rPr>
                <w:rFonts w:eastAsia="Arial" w:cs="Arial"/>
              </w:rPr>
              <w:t xml:space="preserve"> sustainability, enhanc</w:t>
            </w:r>
            <w:r w:rsidR="552EB431" w:rsidRPr="00494430">
              <w:rPr>
                <w:rFonts w:eastAsia="Arial" w:cs="Arial"/>
              </w:rPr>
              <w:t>ed</w:t>
            </w:r>
            <w:r w:rsidRPr="00494430">
              <w:rPr>
                <w:rFonts w:eastAsia="Arial" w:cs="Arial"/>
              </w:rPr>
              <w:t xml:space="preserve"> performance, and improved community outcomes</w:t>
            </w:r>
            <w:r w:rsidR="584EC104" w:rsidRPr="00494430">
              <w:rPr>
                <w:rFonts w:eastAsia="Arial" w:cs="Arial"/>
              </w:rPr>
              <w:t xml:space="preserve"> are met. </w:t>
            </w:r>
          </w:p>
          <w:p w14:paraId="778BAD2A" w14:textId="77777777" w:rsidR="00D6359E" w:rsidRPr="00494430" w:rsidRDefault="00D6359E" w:rsidP="00AE761C">
            <w:pPr>
              <w:rPr>
                <w:b/>
                <w:bCs/>
              </w:rPr>
            </w:pPr>
          </w:p>
        </w:tc>
      </w:tr>
    </w:tbl>
    <w:p w14:paraId="258B1646" w14:textId="77777777" w:rsidR="00AD66CD" w:rsidRPr="00494430" w:rsidRDefault="00AD66CD">
      <w:r w:rsidRPr="00494430">
        <w:br w:type="page"/>
      </w:r>
    </w:p>
    <w:tbl>
      <w:tblPr>
        <w:tblStyle w:val="TableGrid"/>
        <w:tblW w:w="9628" w:type="dxa"/>
        <w:tblInd w:w="704" w:type="dxa"/>
        <w:tblLook w:val="04A0" w:firstRow="1" w:lastRow="0" w:firstColumn="1" w:lastColumn="0" w:noHBand="0" w:noVBand="1"/>
      </w:tblPr>
      <w:tblGrid>
        <w:gridCol w:w="9628"/>
      </w:tblGrid>
      <w:tr w:rsidR="00D6359E" w:rsidRPr="00494430" w14:paraId="6936B8A7" w14:textId="77777777" w:rsidTr="18708233">
        <w:trPr>
          <w:trHeight w:val="300"/>
        </w:trPr>
        <w:tc>
          <w:tcPr>
            <w:tcW w:w="9628" w:type="dxa"/>
            <w:shd w:val="clear" w:color="auto" w:fill="3A7C22" w:themeFill="accent6" w:themeFillShade="BF"/>
          </w:tcPr>
          <w:p w14:paraId="39681692" w14:textId="0258D90A" w:rsidR="00D6359E" w:rsidRPr="00494430" w:rsidRDefault="000652C6" w:rsidP="000832C0">
            <w:pPr>
              <w:spacing w:before="60" w:after="60"/>
              <w:rPr>
                <w:b/>
                <w:bCs/>
              </w:rPr>
            </w:pPr>
            <w:r w:rsidRPr="00494430">
              <w:rPr>
                <w:b/>
                <w:bCs/>
                <w:color w:val="FFFFFF" w:themeColor="background1"/>
              </w:rPr>
              <w:lastRenderedPageBreak/>
              <w:t>S</w:t>
            </w:r>
            <w:r w:rsidR="3B62F17F" w:rsidRPr="00494430">
              <w:rPr>
                <w:b/>
                <w:bCs/>
                <w:color w:val="FFFFFF" w:themeColor="background1"/>
              </w:rPr>
              <w:t xml:space="preserve">ustainable </w:t>
            </w:r>
          </w:p>
        </w:tc>
      </w:tr>
      <w:tr w:rsidR="00D6359E" w:rsidRPr="00494430" w14:paraId="2A154D89" w14:textId="77777777" w:rsidTr="18708233">
        <w:trPr>
          <w:trHeight w:val="300"/>
        </w:trPr>
        <w:tc>
          <w:tcPr>
            <w:tcW w:w="9628" w:type="dxa"/>
          </w:tcPr>
          <w:p w14:paraId="4797DA3B" w14:textId="77777777" w:rsidR="00D6359E" w:rsidRPr="00494430" w:rsidRDefault="00D6359E" w:rsidP="00AE761C">
            <w:pPr>
              <w:rPr>
                <w:b/>
                <w:bCs/>
              </w:rPr>
            </w:pPr>
          </w:p>
          <w:p w14:paraId="07B75488" w14:textId="0FC7EB51" w:rsidR="00D6359E" w:rsidRPr="00494430" w:rsidRDefault="09C0164E" w:rsidP="00AE761C">
            <w:r w:rsidRPr="00494430">
              <w:t>Service sustainability will be a key consideration when developing the framework.</w:t>
            </w:r>
          </w:p>
          <w:p w14:paraId="306EEA0A" w14:textId="77777777" w:rsidR="00D6359E" w:rsidRPr="00494430" w:rsidRDefault="00D6359E" w:rsidP="00AE761C">
            <w:pPr>
              <w:rPr>
                <w:b/>
                <w:bCs/>
              </w:rPr>
            </w:pPr>
          </w:p>
        </w:tc>
      </w:tr>
      <w:tr w:rsidR="00D6359E" w:rsidRPr="00494430" w14:paraId="6B8F0319" w14:textId="77777777" w:rsidTr="18708233">
        <w:trPr>
          <w:trHeight w:val="300"/>
        </w:trPr>
        <w:tc>
          <w:tcPr>
            <w:tcW w:w="9628" w:type="dxa"/>
            <w:shd w:val="clear" w:color="auto" w:fill="3A7C22" w:themeFill="accent6" w:themeFillShade="BF"/>
          </w:tcPr>
          <w:p w14:paraId="29278110" w14:textId="3B0794F2" w:rsidR="00D6359E" w:rsidRPr="00494430" w:rsidRDefault="3B62F17F" w:rsidP="000832C0">
            <w:pPr>
              <w:spacing w:before="60" w:after="60"/>
              <w:rPr>
                <w:b/>
                <w:bCs/>
              </w:rPr>
            </w:pPr>
            <w:r w:rsidRPr="00494430">
              <w:rPr>
                <w:b/>
                <w:bCs/>
                <w:color w:val="FFFFFF" w:themeColor="background1"/>
              </w:rPr>
              <w:t xml:space="preserve">Transformative and </w:t>
            </w:r>
            <w:r w:rsidR="00A54FDF" w:rsidRPr="00494430">
              <w:rPr>
                <w:b/>
                <w:bCs/>
                <w:color w:val="FFFFFF" w:themeColor="background1"/>
              </w:rPr>
              <w:t>A</w:t>
            </w:r>
            <w:r w:rsidRPr="00494430">
              <w:rPr>
                <w:b/>
                <w:bCs/>
                <w:color w:val="FFFFFF" w:themeColor="background1"/>
              </w:rPr>
              <w:t>mbitious</w:t>
            </w:r>
          </w:p>
        </w:tc>
      </w:tr>
      <w:tr w:rsidR="00D6359E" w:rsidRPr="00494430" w14:paraId="7BB7DE27" w14:textId="77777777" w:rsidTr="18708233">
        <w:trPr>
          <w:trHeight w:val="300"/>
        </w:trPr>
        <w:tc>
          <w:tcPr>
            <w:tcW w:w="9628" w:type="dxa"/>
          </w:tcPr>
          <w:p w14:paraId="7F1B8889" w14:textId="77777777" w:rsidR="00D6359E" w:rsidRPr="00494430" w:rsidRDefault="00D6359E" w:rsidP="00AE761C">
            <w:pPr>
              <w:rPr>
                <w:b/>
                <w:bCs/>
              </w:rPr>
            </w:pPr>
          </w:p>
          <w:p w14:paraId="527ED17A" w14:textId="774FCA7B" w:rsidR="00D6359E" w:rsidRPr="00494430" w:rsidRDefault="3B43A6CB" w:rsidP="18708233">
            <w:r w:rsidRPr="00494430">
              <w:t xml:space="preserve">Both councils are committed to </w:t>
            </w:r>
            <w:r w:rsidR="5A91F496" w:rsidRPr="00494430">
              <w:t>developing a framework that informs and support</w:t>
            </w:r>
            <w:r w:rsidR="17D74B10" w:rsidRPr="00494430">
              <w:t>s</w:t>
            </w:r>
            <w:r w:rsidR="5A91F496" w:rsidRPr="00494430">
              <w:t xml:space="preserve"> the implementation of collaborative operating models</w:t>
            </w:r>
            <w:r w:rsidR="00055319" w:rsidRPr="00494430">
              <w:t xml:space="preserve">.  </w:t>
            </w:r>
            <w:r w:rsidR="3D396CC2" w:rsidRPr="00494430">
              <w:t xml:space="preserve">This workstream will </w:t>
            </w:r>
            <w:r w:rsidR="31E026BD" w:rsidRPr="00494430">
              <w:t>prioritise</w:t>
            </w:r>
            <w:r w:rsidR="3D396CC2" w:rsidRPr="00494430">
              <w:t xml:space="preserve"> continuous improvement by reviewing the framework, </w:t>
            </w:r>
            <w:r w:rsidR="356323CE" w:rsidRPr="00494430">
              <w:t>risks,</w:t>
            </w:r>
            <w:r w:rsidR="3D396CC2" w:rsidRPr="00494430">
              <w:t xml:space="preserve"> and associated legal guidance to ensure transformation i</w:t>
            </w:r>
            <w:r w:rsidR="4936C49C" w:rsidRPr="00494430">
              <w:t>s achieved.</w:t>
            </w:r>
          </w:p>
          <w:p w14:paraId="0351FF32" w14:textId="77777777" w:rsidR="00D6359E" w:rsidRPr="00494430" w:rsidRDefault="00D6359E" w:rsidP="00AE761C">
            <w:pPr>
              <w:rPr>
                <w:b/>
                <w:bCs/>
              </w:rPr>
            </w:pPr>
          </w:p>
        </w:tc>
      </w:tr>
      <w:tr w:rsidR="00D6359E" w:rsidRPr="00494430" w14:paraId="1FA7ECEE" w14:textId="77777777" w:rsidTr="18708233">
        <w:trPr>
          <w:trHeight w:val="300"/>
        </w:trPr>
        <w:tc>
          <w:tcPr>
            <w:tcW w:w="9628" w:type="dxa"/>
            <w:shd w:val="clear" w:color="auto" w:fill="3A7C22" w:themeFill="accent6" w:themeFillShade="BF"/>
          </w:tcPr>
          <w:p w14:paraId="64335099" w14:textId="077F2FF8" w:rsidR="00D6359E" w:rsidRPr="00494430" w:rsidRDefault="3B62F17F" w:rsidP="000832C0">
            <w:pPr>
              <w:spacing w:before="60" w:after="60"/>
              <w:rPr>
                <w:b/>
                <w:bCs/>
              </w:rPr>
            </w:pPr>
            <w:r w:rsidRPr="00494430">
              <w:rPr>
                <w:b/>
                <w:bCs/>
                <w:color w:val="FFFFFF" w:themeColor="background1"/>
              </w:rPr>
              <w:t xml:space="preserve">Fair and </w:t>
            </w:r>
            <w:r w:rsidR="00A54FDF" w:rsidRPr="00494430">
              <w:rPr>
                <w:b/>
                <w:bCs/>
                <w:color w:val="FFFFFF" w:themeColor="background1"/>
              </w:rPr>
              <w:t>E</w:t>
            </w:r>
            <w:r w:rsidRPr="00494430">
              <w:rPr>
                <w:b/>
                <w:bCs/>
                <w:color w:val="FFFFFF" w:themeColor="background1"/>
              </w:rPr>
              <w:t>quitable</w:t>
            </w:r>
          </w:p>
        </w:tc>
      </w:tr>
      <w:tr w:rsidR="00D6359E" w:rsidRPr="00494430" w14:paraId="47D8991D" w14:textId="77777777" w:rsidTr="18708233">
        <w:trPr>
          <w:trHeight w:val="300"/>
        </w:trPr>
        <w:tc>
          <w:tcPr>
            <w:tcW w:w="9628" w:type="dxa"/>
          </w:tcPr>
          <w:p w14:paraId="702E99D3" w14:textId="77777777" w:rsidR="00D6359E" w:rsidRPr="00494430" w:rsidRDefault="00D6359E" w:rsidP="00AE761C">
            <w:pPr>
              <w:rPr>
                <w:b/>
                <w:bCs/>
                <w:u w:val="single"/>
              </w:rPr>
            </w:pPr>
          </w:p>
          <w:p w14:paraId="34F56254" w14:textId="4DBD9788" w:rsidR="00D6359E" w:rsidRPr="00494430" w:rsidRDefault="24FA15BD" w:rsidP="18708233">
            <w:r w:rsidRPr="00494430">
              <w:t>Developing fair and equitable services will be a key consideration when developing the framework.</w:t>
            </w:r>
          </w:p>
          <w:p w14:paraId="4C648895" w14:textId="77777777" w:rsidR="00D6359E" w:rsidRPr="00494430" w:rsidRDefault="00D6359E" w:rsidP="00AE761C">
            <w:pPr>
              <w:rPr>
                <w:b/>
                <w:bCs/>
                <w:u w:val="single"/>
              </w:rPr>
            </w:pPr>
          </w:p>
        </w:tc>
      </w:tr>
    </w:tbl>
    <w:p w14:paraId="253AE756" w14:textId="77777777" w:rsidR="00AD7057" w:rsidRPr="00494430" w:rsidRDefault="00AD7057" w:rsidP="007E708B"/>
    <w:p w14:paraId="3CC3D8D9" w14:textId="77777777" w:rsidR="007E708B" w:rsidRPr="00494430" w:rsidRDefault="007E708B" w:rsidP="007E708B"/>
    <w:p w14:paraId="0A534573" w14:textId="205365ED" w:rsidR="008C2FEC" w:rsidRPr="00494430" w:rsidRDefault="3B62F17F" w:rsidP="3B62F17F">
      <w:pPr>
        <w:tabs>
          <w:tab w:val="left" w:pos="709"/>
        </w:tabs>
        <w:rPr>
          <w:b/>
          <w:bCs/>
        </w:rPr>
      </w:pPr>
      <w:r w:rsidRPr="00494430">
        <w:rPr>
          <w:b/>
          <w:bCs/>
        </w:rPr>
        <w:t>5.</w:t>
      </w:r>
      <w:r w:rsidR="007E708B" w:rsidRPr="00494430">
        <w:tab/>
      </w:r>
      <w:r w:rsidRPr="00494430">
        <w:rPr>
          <w:b/>
          <w:bCs/>
        </w:rPr>
        <w:t xml:space="preserve">Financial </w:t>
      </w:r>
    </w:p>
    <w:p w14:paraId="00F0A24E" w14:textId="77777777" w:rsidR="008C2FEC" w:rsidRPr="00494430" w:rsidRDefault="008C2FEC" w:rsidP="3B62F17F">
      <w:pPr>
        <w:tabs>
          <w:tab w:val="left" w:pos="709"/>
        </w:tabs>
        <w:rPr>
          <w:b/>
          <w:bCs/>
        </w:rPr>
      </w:pPr>
    </w:p>
    <w:tbl>
      <w:tblPr>
        <w:tblStyle w:val="TableGrid"/>
        <w:tblW w:w="9628" w:type="dxa"/>
        <w:tblInd w:w="704" w:type="dxa"/>
        <w:tblLook w:val="04A0" w:firstRow="1" w:lastRow="0" w:firstColumn="1" w:lastColumn="0" w:noHBand="0" w:noVBand="1"/>
      </w:tblPr>
      <w:tblGrid>
        <w:gridCol w:w="9628"/>
      </w:tblGrid>
      <w:tr w:rsidR="008C2FEC" w:rsidRPr="00494430" w14:paraId="51DD8FF2" w14:textId="77777777" w:rsidTr="34F1F993">
        <w:trPr>
          <w:trHeight w:val="300"/>
        </w:trPr>
        <w:tc>
          <w:tcPr>
            <w:tcW w:w="9628" w:type="dxa"/>
            <w:shd w:val="clear" w:color="auto" w:fill="3A7C22" w:themeFill="accent6" w:themeFillShade="BF"/>
          </w:tcPr>
          <w:p w14:paraId="1FC7DFB3" w14:textId="1FD9521B" w:rsidR="008C2FEC" w:rsidRPr="00494430" w:rsidRDefault="3B62F17F" w:rsidP="000832C0">
            <w:pPr>
              <w:spacing w:before="60" w:after="60"/>
              <w:rPr>
                <w:b/>
                <w:bCs/>
              </w:rPr>
            </w:pPr>
            <w:r w:rsidRPr="00494430">
              <w:rPr>
                <w:b/>
                <w:bCs/>
                <w:color w:val="FFFFFF" w:themeColor="background1"/>
              </w:rPr>
              <w:t>Please outline how this workstream will work to achieve financial sustainability in both approach and outcomes, in 500 words or less.</w:t>
            </w:r>
          </w:p>
        </w:tc>
      </w:tr>
      <w:tr w:rsidR="008C2FEC" w:rsidRPr="00494430" w14:paraId="533052C1" w14:textId="77777777" w:rsidTr="34F1F993">
        <w:trPr>
          <w:trHeight w:val="300"/>
        </w:trPr>
        <w:tc>
          <w:tcPr>
            <w:tcW w:w="9628" w:type="dxa"/>
          </w:tcPr>
          <w:p w14:paraId="4541B945" w14:textId="36830CD4" w:rsidR="008C2FEC" w:rsidRPr="00494430" w:rsidRDefault="008C2FEC" w:rsidP="5A895294">
            <w:pPr>
              <w:tabs>
                <w:tab w:val="left" w:pos="709"/>
              </w:tabs>
              <w:rPr>
                <w:b/>
                <w:bCs/>
              </w:rPr>
            </w:pPr>
          </w:p>
          <w:p w14:paraId="47D6DDB2" w14:textId="3F239B70" w:rsidR="008C2FEC" w:rsidRPr="00494430" w:rsidRDefault="587FF94D" w:rsidP="3B62F17F">
            <w:pPr>
              <w:tabs>
                <w:tab w:val="left" w:pos="709"/>
              </w:tabs>
            </w:pPr>
            <w:r w:rsidRPr="00494430">
              <w:t xml:space="preserve">This workstream will provide the necessary corporate foundations to allow all other Tranche 1 functions to move to collaborative </w:t>
            </w:r>
            <w:r w:rsidR="1B9BDE61" w:rsidRPr="00494430">
              <w:t>operating models</w:t>
            </w:r>
            <w:r w:rsidR="0F73E852" w:rsidRPr="00494430">
              <w:t xml:space="preserve">. By enabling these functions to transform and integrate significant financial savings </w:t>
            </w:r>
            <w:r w:rsidR="4FD6FC42" w:rsidRPr="00494430">
              <w:t xml:space="preserve">may </w:t>
            </w:r>
            <w:r w:rsidR="0F73E852" w:rsidRPr="00494430">
              <w:t xml:space="preserve">be </w:t>
            </w:r>
            <w:r w:rsidR="1F41B4BB" w:rsidRPr="00494430">
              <w:t>realised through reduced duplication and enhanced service delivery.</w:t>
            </w:r>
            <w:r w:rsidR="381920C0" w:rsidRPr="00494430">
              <w:t xml:space="preserve"> Investment in this workstream is required to ensure the workstream is properly resourced </w:t>
            </w:r>
            <w:r w:rsidR="323F14B5" w:rsidRPr="00494430">
              <w:t>within the anticipated timescales.</w:t>
            </w:r>
          </w:p>
          <w:p w14:paraId="3BE8206A" w14:textId="77777777" w:rsidR="008C2FEC" w:rsidRPr="00494430" w:rsidRDefault="008C2FEC" w:rsidP="3B62F17F">
            <w:pPr>
              <w:tabs>
                <w:tab w:val="left" w:pos="709"/>
              </w:tabs>
              <w:rPr>
                <w:b/>
                <w:bCs/>
              </w:rPr>
            </w:pPr>
          </w:p>
        </w:tc>
      </w:tr>
    </w:tbl>
    <w:p w14:paraId="7B2A1D9E" w14:textId="696EF989" w:rsidR="008C2FEC" w:rsidRPr="00494430" w:rsidRDefault="008C2FEC" w:rsidP="3B62F17F">
      <w:pPr>
        <w:tabs>
          <w:tab w:val="left" w:pos="709"/>
        </w:tabs>
      </w:pPr>
    </w:p>
    <w:p w14:paraId="12D3BD26" w14:textId="77777777" w:rsidR="008C2FEC" w:rsidRPr="00494430" w:rsidRDefault="008C2FEC" w:rsidP="3B62F17F">
      <w:pPr>
        <w:tabs>
          <w:tab w:val="left" w:pos="709"/>
        </w:tabs>
      </w:pPr>
    </w:p>
    <w:p w14:paraId="4062D8EB" w14:textId="31FAF64B" w:rsidR="007E708B" w:rsidRPr="00494430" w:rsidRDefault="3B62F17F" w:rsidP="3B62F17F">
      <w:pPr>
        <w:tabs>
          <w:tab w:val="left" w:pos="709"/>
        </w:tabs>
        <w:rPr>
          <w:b/>
          <w:bCs/>
        </w:rPr>
      </w:pPr>
      <w:r w:rsidRPr="00494430">
        <w:rPr>
          <w:b/>
          <w:bCs/>
        </w:rPr>
        <w:t>6.</w:t>
      </w:r>
      <w:r w:rsidR="008C2FEC" w:rsidRPr="00494430">
        <w:tab/>
      </w:r>
      <w:r w:rsidRPr="00494430">
        <w:rPr>
          <w:b/>
          <w:bCs/>
        </w:rPr>
        <w:t>Governance</w:t>
      </w:r>
    </w:p>
    <w:p w14:paraId="40357BD6" w14:textId="77777777" w:rsidR="00855077" w:rsidRPr="00494430" w:rsidRDefault="00855077" w:rsidP="007E708B"/>
    <w:p w14:paraId="2B289247" w14:textId="70FDD01D" w:rsidR="007E708B" w:rsidRPr="00494430" w:rsidRDefault="007E708B" w:rsidP="5A895294">
      <w:pPr>
        <w:ind w:left="709"/>
        <w:rPr>
          <w:rFonts w:eastAsia="Arial" w:cs="Arial"/>
        </w:rPr>
      </w:pPr>
      <w:r w:rsidRPr="00494430">
        <w:t xml:space="preserve">The workstream will be overseen </w:t>
      </w:r>
      <w:r w:rsidR="1AEB59FA" w:rsidRPr="00494430">
        <w:t>by Colin Moodie (Falkirk Council) and Lee Robertson (Clackmannanshire Council)</w:t>
      </w:r>
      <w:r w:rsidRPr="00494430">
        <w:t xml:space="preserve"> </w:t>
      </w:r>
      <w:r w:rsidR="6006565C" w:rsidRPr="00494430">
        <w:t>with</w:t>
      </w:r>
      <w:r w:rsidR="5033D987" w:rsidRPr="00494430">
        <w:t xml:space="preserve"> </w:t>
      </w:r>
      <w:r w:rsidRPr="00494430">
        <w:t xml:space="preserve">all members </w:t>
      </w:r>
      <w:r w:rsidR="20DBB44B" w:rsidRPr="00494430">
        <w:t>playing an</w:t>
      </w:r>
      <w:r w:rsidRPr="00494430">
        <w:t xml:space="preserve"> active role</w:t>
      </w:r>
      <w:r w:rsidR="00B16D5A" w:rsidRPr="00494430">
        <w:t xml:space="preserve">.  </w:t>
      </w:r>
      <w:r w:rsidRPr="00494430">
        <w:t>The workstream will report to the Transformation through Collaboration Programme Board</w:t>
      </w:r>
      <w:r w:rsidR="006E3442" w:rsidRPr="00494430">
        <w:t xml:space="preserve">.  </w:t>
      </w:r>
      <w:r w:rsidR="0B4B7F8A" w:rsidRPr="00494430">
        <w:rPr>
          <w:rFonts w:eastAsia="Arial" w:cs="Arial"/>
        </w:rPr>
        <w:t>Governance process will be agreed as this work evolves.</w:t>
      </w:r>
    </w:p>
    <w:p w14:paraId="4E807EA4" w14:textId="77777777" w:rsidR="007E708B" w:rsidRPr="00494430" w:rsidRDefault="007E708B" w:rsidP="007E708B"/>
    <w:p w14:paraId="405563EC" w14:textId="77777777" w:rsidR="00F21087" w:rsidRPr="00494430" w:rsidRDefault="00F21087" w:rsidP="007E708B"/>
    <w:p w14:paraId="4B148C43" w14:textId="0DFB1426" w:rsidR="00855077" w:rsidRPr="00494430" w:rsidRDefault="3B62F17F" w:rsidP="3B62F17F">
      <w:pPr>
        <w:tabs>
          <w:tab w:val="left" w:pos="709"/>
        </w:tabs>
        <w:rPr>
          <w:b/>
          <w:bCs/>
        </w:rPr>
      </w:pPr>
      <w:r w:rsidRPr="00494430">
        <w:rPr>
          <w:b/>
          <w:bCs/>
        </w:rPr>
        <w:t>7.</w:t>
      </w:r>
      <w:r w:rsidR="008C2FEC" w:rsidRPr="00494430">
        <w:tab/>
      </w:r>
      <w:r w:rsidRPr="00494430">
        <w:rPr>
          <w:b/>
          <w:bCs/>
        </w:rPr>
        <w:t>Group Membership</w:t>
      </w:r>
    </w:p>
    <w:p w14:paraId="0911CA9A" w14:textId="77777777" w:rsidR="00855077" w:rsidRPr="00494430" w:rsidRDefault="00855077" w:rsidP="007E708B">
      <w:pPr>
        <w:rPr>
          <w:b/>
        </w:rPr>
      </w:pPr>
    </w:p>
    <w:tbl>
      <w:tblPr>
        <w:tblW w:w="893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3110"/>
        <w:gridCol w:w="3126"/>
      </w:tblGrid>
      <w:tr w:rsidR="00855077" w:rsidRPr="00494430" w14:paraId="50212135" w14:textId="77777777" w:rsidTr="5A895294">
        <w:trPr>
          <w:cantSplit/>
          <w:trHeight w:val="300"/>
          <w:tblHeader/>
        </w:trPr>
        <w:tc>
          <w:tcPr>
            <w:tcW w:w="2694" w:type="dxa"/>
            <w:shd w:val="clear" w:color="auto" w:fill="3A7C22" w:themeFill="accent6" w:themeFillShade="BF"/>
            <w:noWrap/>
            <w:vAlign w:val="bottom"/>
          </w:tcPr>
          <w:p w14:paraId="07BE0231" w14:textId="77777777" w:rsidR="007E708B" w:rsidRPr="00494430" w:rsidRDefault="007E708B" w:rsidP="00855077">
            <w:pPr>
              <w:spacing w:before="60" w:after="60"/>
              <w:rPr>
                <w:b/>
                <w:bCs/>
                <w:color w:val="FFFFFF" w:themeColor="background1"/>
              </w:rPr>
            </w:pPr>
            <w:r w:rsidRPr="00494430">
              <w:rPr>
                <w:b/>
                <w:bCs/>
                <w:color w:val="FFFFFF" w:themeColor="background1"/>
              </w:rPr>
              <w:t>Name</w:t>
            </w:r>
          </w:p>
        </w:tc>
        <w:tc>
          <w:tcPr>
            <w:tcW w:w="3110" w:type="dxa"/>
            <w:shd w:val="clear" w:color="auto" w:fill="3A7C22" w:themeFill="accent6" w:themeFillShade="BF"/>
            <w:noWrap/>
            <w:vAlign w:val="bottom"/>
          </w:tcPr>
          <w:p w14:paraId="1F66D96F" w14:textId="77777777" w:rsidR="007E708B" w:rsidRPr="00494430" w:rsidRDefault="007E708B" w:rsidP="00855077">
            <w:pPr>
              <w:spacing w:before="60" w:after="60"/>
              <w:rPr>
                <w:b/>
                <w:bCs/>
                <w:color w:val="FFFFFF" w:themeColor="background1"/>
              </w:rPr>
            </w:pPr>
            <w:r w:rsidRPr="00494430">
              <w:rPr>
                <w:b/>
                <w:bCs/>
                <w:color w:val="FFFFFF" w:themeColor="background1"/>
              </w:rPr>
              <w:t>Job Title</w:t>
            </w:r>
          </w:p>
        </w:tc>
        <w:tc>
          <w:tcPr>
            <w:tcW w:w="3126" w:type="dxa"/>
            <w:shd w:val="clear" w:color="auto" w:fill="3A7C22" w:themeFill="accent6" w:themeFillShade="BF"/>
            <w:noWrap/>
            <w:vAlign w:val="bottom"/>
          </w:tcPr>
          <w:p w14:paraId="47B043AD" w14:textId="77777777" w:rsidR="007E708B" w:rsidRPr="00494430" w:rsidRDefault="007E708B" w:rsidP="00855077">
            <w:pPr>
              <w:spacing w:before="60" w:after="60"/>
              <w:rPr>
                <w:b/>
                <w:bCs/>
                <w:color w:val="FFFFFF" w:themeColor="background1"/>
              </w:rPr>
            </w:pPr>
            <w:r w:rsidRPr="00494430">
              <w:rPr>
                <w:b/>
                <w:bCs/>
                <w:color w:val="FFFFFF" w:themeColor="background1"/>
              </w:rPr>
              <w:t>Partner Organisation</w:t>
            </w:r>
          </w:p>
        </w:tc>
      </w:tr>
      <w:tr w:rsidR="007E708B" w:rsidRPr="00494430" w14:paraId="23D6E5BB" w14:textId="77777777" w:rsidTr="5A895294">
        <w:trPr>
          <w:cantSplit/>
          <w:trHeight w:val="300"/>
          <w:tblHeader/>
        </w:trPr>
        <w:tc>
          <w:tcPr>
            <w:tcW w:w="2694" w:type="dxa"/>
            <w:noWrap/>
            <w:vAlign w:val="bottom"/>
          </w:tcPr>
          <w:p w14:paraId="2203D488" w14:textId="2B71F49B" w:rsidR="007E708B" w:rsidRPr="00494430" w:rsidRDefault="1672F460" w:rsidP="18708233">
            <w:r w:rsidRPr="00494430">
              <w:t>Colin Moodie</w:t>
            </w:r>
          </w:p>
        </w:tc>
        <w:tc>
          <w:tcPr>
            <w:tcW w:w="3110" w:type="dxa"/>
            <w:noWrap/>
            <w:vAlign w:val="bottom"/>
          </w:tcPr>
          <w:p w14:paraId="07FD3CED" w14:textId="4A0CC6C7" w:rsidR="007E708B" w:rsidRPr="00494430" w:rsidRDefault="03A8CCFC" w:rsidP="007E708B">
            <w:r w:rsidRPr="00494430">
              <w:t>Chief Governance Officer</w:t>
            </w:r>
          </w:p>
        </w:tc>
        <w:tc>
          <w:tcPr>
            <w:tcW w:w="3126" w:type="dxa"/>
            <w:noWrap/>
            <w:vAlign w:val="bottom"/>
          </w:tcPr>
          <w:p w14:paraId="19170992" w14:textId="04F3688D" w:rsidR="007E708B" w:rsidRPr="00494430" w:rsidRDefault="1672F460" w:rsidP="007E708B">
            <w:r w:rsidRPr="00494430">
              <w:t>Falkirk Council</w:t>
            </w:r>
          </w:p>
        </w:tc>
      </w:tr>
      <w:tr w:rsidR="007E708B" w:rsidRPr="00494430" w14:paraId="5F29209C" w14:textId="77777777" w:rsidTr="5A895294">
        <w:trPr>
          <w:cantSplit/>
          <w:trHeight w:val="300"/>
          <w:tblHeader/>
        </w:trPr>
        <w:tc>
          <w:tcPr>
            <w:tcW w:w="2694" w:type="dxa"/>
            <w:noWrap/>
            <w:vAlign w:val="bottom"/>
          </w:tcPr>
          <w:p w14:paraId="0637F98C" w14:textId="4B1BA4A8" w:rsidR="007E708B" w:rsidRPr="00494430" w:rsidRDefault="1672F460" w:rsidP="007E708B">
            <w:r w:rsidRPr="00494430">
              <w:t>Lee Robertson</w:t>
            </w:r>
          </w:p>
        </w:tc>
        <w:tc>
          <w:tcPr>
            <w:tcW w:w="3110" w:type="dxa"/>
            <w:noWrap/>
            <w:vAlign w:val="bottom"/>
          </w:tcPr>
          <w:p w14:paraId="2C6D35B2" w14:textId="72A72D6B" w:rsidR="007E708B" w:rsidRPr="00494430" w:rsidRDefault="7AD8CBE6" w:rsidP="007E708B">
            <w:r w:rsidRPr="00494430">
              <w:t xml:space="preserve">Senior Manager Legal and Governance </w:t>
            </w:r>
          </w:p>
        </w:tc>
        <w:tc>
          <w:tcPr>
            <w:tcW w:w="3126" w:type="dxa"/>
            <w:noWrap/>
            <w:vAlign w:val="bottom"/>
          </w:tcPr>
          <w:p w14:paraId="74B1AC3A" w14:textId="34E738B5" w:rsidR="007E708B" w:rsidRPr="00494430" w:rsidRDefault="1672F460" w:rsidP="007E708B">
            <w:r w:rsidRPr="00494430">
              <w:t xml:space="preserve">Clackmannanshire Council </w:t>
            </w:r>
          </w:p>
        </w:tc>
      </w:tr>
    </w:tbl>
    <w:p w14:paraId="0E00AB5D" w14:textId="77777777" w:rsidR="007E708B" w:rsidRPr="00494430" w:rsidRDefault="007E708B" w:rsidP="008546D6"/>
    <w:p w14:paraId="717FCC9D" w14:textId="77777777" w:rsidR="00F21087" w:rsidRPr="00494430" w:rsidRDefault="00F21087" w:rsidP="008546D6"/>
    <w:p w14:paraId="6EA9FEB8" w14:textId="77777777" w:rsidR="003A541B" w:rsidRPr="00494430" w:rsidRDefault="003A541B">
      <w:pPr>
        <w:spacing w:after="160" w:line="278" w:lineRule="auto"/>
        <w:rPr>
          <w:b/>
          <w:bCs/>
        </w:rPr>
      </w:pPr>
      <w:r w:rsidRPr="00494430">
        <w:rPr>
          <w:b/>
          <w:bCs/>
        </w:rPr>
        <w:br w:type="page"/>
      </w:r>
    </w:p>
    <w:p w14:paraId="22C56E68" w14:textId="4CC9A41E" w:rsidR="008546D6" w:rsidRPr="00494430" w:rsidRDefault="3B62F17F" w:rsidP="008546D6">
      <w:pPr>
        <w:rPr>
          <w:b/>
          <w:bCs/>
        </w:rPr>
      </w:pPr>
      <w:r w:rsidRPr="00494430">
        <w:rPr>
          <w:b/>
          <w:bCs/>
        </w:rPr>
        <w:lastRenderedPageBreak/>
        <w:t>8.</w:t>
      </w:r>
      <w:r w:rsidR="00F21087" w:rsidRPr="00494430">
        <w:rPr>
          <w:b/>
          <w:bCs/>
        </w:rPr>
        <w:tab/>
      </w:r>
      <w:r w:rsidRPr="00494430">
        <w:rPr>
          <w:b/>
          <w:bCs/>
        </w:rPr>
        <w:t xml:space="preserve">Stakeholder Engagement </w:t>
      </w:r>
    </w:p>
    <w:p w14:paraId="3680AB18" w14:textId="77777777" w:rsidR="009466FE" w:rsidRPr="00494430" w:rsidRDefault="009466FE" w:rsidP="008546D6"/>
    <w:tbl>
      <w:tblPr>
        <w:tblStyle w:val="TableGrid"/>
        <w:tblW w:w="9628" w:type="dxa"/>
        <w:tblInd w:w="607" w:type="dxa"/>
        <w:tblLook w:val="04A0" w:firstRow="1" w:lastRow="0" w:firstColumn="1" w:lastColumn="0" w:noHBand="0" w:noVBand="1"/>
      </w:tblPr>
      <w:tblGrid>
        <w:gridCol w:w="9628"/>
      </w:tblGrid>
      <w:tr w:rsidR="00C2085C" w:rsidRPr="00494430" w14:paraId="0F7BCA1C" w14:textId="77777777" w:rsidTr="5A895294">
        <w:tc>
          <w:tcPr>
            <w:tcW w:w="9628" w:type="dxa"/>
            <w:shd w:val="clear" w:color="auto" w:fill="3A7C22" w:themeFill="accent6" w:themeFillShade="BF"/>
          </w:tcPr>
          <w:p w14:paraId="303C2C49" w14:textId="258B6AAD" w:rsidR="00C2085C" w:rsidRPr="00494430" w:rsidRDefault="3B62F17F" w:rsidP="000832C0">
            <w:pPr>
              <w:spacing w:before="60" w:after="60"/>
              <w:rPr>
                <w:b/>
                <w:bCs/>
              </w:rPr>
            </w:pPr>
            <w:r w:rsidRPr="00494430">
              <w:rPr>
                <w:b/>
                <w:bCs/>
                <w:color w:val="FFFFFF" w:themeColor="background1"/>
              </w:rPr>
              <w:t>Please note all stakeholder that should be considered in this workstream including details of their interest and influence in the workstream</w:t>
            </w:r>
          </w:p>
        </w:tc>
      </w:tr>
      <w:tr w:rsidR="00C2085C" w:rsidRPr="00494430" w14:paraId="33D9E5A4" w14:textId="77777777" w:rsidTr="5A895294">
        <w:tc>
          <w:tcPr>
            <w:tcW w:w="9628" w:type="dxa"/>
          </w:tcPr>
          <w:p w14:paraId="45555E0F" w14:textId="77777777" w:rsidR="008400FD" w:rsidRPr="00494430" w:rsidRDefault="008400FD" w:rsidP="008546D6"/>
          <w:tbl>
            <w:tblPr>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3110"/>
              <w:gridCol w:w="3126"/>
            </w:tblGrid>
            <w:tr w:rsidR="008400FD" w:rsidRPr="00494430" w14:paraId="5ECDE433" w14:textId="77777777" w:rsidTr="5A895294">
              <w:trPr>
                <w:cantSplit/>
                <w:trHeight w:val="300"/>
                <w:tblHeader/>
              </w:trPr>
              <w:tc>
                <w:tcPr>
                  <w:tcW w:w="2694" w:type="dxa"/>
                  <w:shd w:val="clear" w:color="auto" w:fill="3A7C22" w:themeFill="accent6" w:themeFillShade="BF"/>
                  <w:noWrap/>
                  <w:vAlign w:val="bottom"/>
                </w:tcPr>
                <w:p w14:paraId="0F191560" w14:textId="2B2D05A5" w:rsidR="008400FD" w:rsidRPr="00494430" w:rsidRDefault="3B62F17F" w:rsidP="008400FD">
                  <w:pPr>
                    <w:spacing w:before="60" w:after="60"/>
                    <w:rPr>
                      <w:b/>
                      <w:bCs/>
                      <w:color w:val="FFFFFF" w:themeColor="background1"/>
                    </w:rPr>
                  </w:pPr>
                  <w:r w:rsidRPr="00494430">
                    <w:rPr>
                      <w:b/>
                      <w:bCs/>
                      <w:color w:val="FFFFFF" w:themeColor="background1"/>
                    </w:rPr>
                    <w:t>Stakeholder</w:t>
                  </w:r>
                </w:p>
              </w:tc>
              <w:tc>
                <w:tcPr>
                  <w:tcW w:w="3110" w:type="dxa"/>
                  <w:shd w:val="clear" w:color="auto" w:fill="3A7C22" w:themeFill="accent6" w:themeFillShade="BF"/>
                  <w:noWrap/>
                  <w:vAlign w:val="bottom"/>
                </w:tcPr>
                <w:p w14:paraId="5055C549" w14:textId="76AFAA85" w:rsidR="008400FD" w:rsidRPr="00494430" w:rsidRDefault="3B62F17F" w:rsidP="008400FD">
                  <w:pPr>
                    <w:spacing w:before="60" w:after="60"/>
                    <w:rPr>
                      <w:b/>
                      <w:bCs/>
                      <w:color w:val="FFFFFF" w:themeColor="background1"/>
                    </w:rPr>
                  </w:pPr>
                  <w:r w:rsidRPr="00494430">
                    <w:rPr>
                      <w:b/>
                      <w:bCs/>
                      <w:color w:val="FFFFFF" w:themeColor="background1"/>
                    </w:rPr>
                    <w:t>Interest</w:t>
                  </w:r>
                </w:p>
              </w:tc>
              <w:tc>
                <w:tcPr>
                  <w:tcW w:w="3126" w:type="dxa"/>
                  <w:shd w:val="clear" w:color="auto" w:fill="3A7C22" w:themeFill="accent6" w:themeFillShade="BF"/>
                  <w:noWrap/>
                  <w:vAlign w:val="bottom"/>
                </w:tcPr>
                <w:p w14:paraId="057E7151" w14:textId="6461F15D" w:rsidR="008400FD" w:rsidRPr="00494430" w:rsidRDefault="3B62F17F" w:rsidP="008400FD">
                  <w:pPr>
                    <w:spacing w:before="60" w:after="60"/>
                    <w:rPr>
                      <w:b/>
                      <w:bCs/>
                      <w:color w:val="FFFFFF" w:themeColor="background1"/>
                    </w:rPr>
                  </w:pPr>
                  <w:r w:rsidRPr="00494430">
                    <w:rPr>
                      <w:b/>
                      <w:bCs/>
                      <w:color w:val="FFFFFF" w:themeColor="background1"/>
                    </w:rPr>
                    <w:t>Influence (High/Med/Low)</w:t>
                  </w:r>
                </w:p>
              </w:tc>
            </w:tr>
            <w:tr w:rsidR="008400FD" w:rsidRPr="00494430" w14:paraId="1000ACC4" w14:textId="77777777" w:rsidTr="5A895294">
              <w:trPr>
                <w:cantSplit/>
                <w:trHeight w:val="300"/>
                <w:tblHeader/>
              </w:trPr>
              <w:tc>
                <w:tcPr>
                  <w:tcW w:w="2694" w:type="dxa"/>
                  <w:noWrap/>
                  <w:vAlign w:val="bottom"/>
                </w:tcPr>
                <w:p w14:paraId="1BB86613" w14:textId="406C5685" w:rsidR="008400FD" w:rsidRPr="00494430" w:rsidRDefault="5466DECC" w:rsidP="008400FD">
                  <w:r w:rsidRPr="00494430">
                    <w:t xml:space="preserve">Lead Officers (Tranche </w:t>
                  </w:r>
                  <w:r w:rsidR="6E1BDFDF" w:rsidRPr="00494430">
                    <w:t>O</w:t>
                  </w:r>
                  <w:r w:rsidRPr="00494430">
                    <w:t>ne projects)</w:t>
                  </w:r>
                </w:p>
              </w:tc>
              <w:tc>
                <w:tcPr>
                  <w:tcW w:w="3110" w:type="dxa"/>
                  <w:noWrap/>
                  <w:vAlign w:val="bottom"/>
                </w:tcPr>
                <w:p w14:paraId="0C30AFD0" w14:textId="61CA0BFA" w:rsidR="008400FD" w:rsidRPr="00494430" w:rsidRDefault="5466DECC" w:rsidP="008400FD">
                  <w:r w:rsidRPr="00494430">
                    <w:t>Legal competency of proposed operating model</w:t>
                  </w:r>
                </w:p>
              </w:tc>
              <w:tc>
                <w:tcPr>
                  <w:tcW w:w="3126" w:type="dxa"/>
                  <w:noWrap/>
                  <w:vAlign w:val="bottom"/>
                </w:tcPr>
                <w:p w14:paraId="42D567EC" w14:textId="599FE464" w:rsidR="008400FD" w:rsidRPr="00494430" w:rsidRDefault="5466DECC" w:rsidP="008400FD">
                  <w:r w:rsidRPr="00494430">
                    <w:t>High</w:t>
                  </w:r>
                </w:p>
              </w:tc>
            </w:tr>
            <w:tr w:rsidR="008400FD" w:rsidRPr="00494430" w14:paraId="5B9497E4" w14:textId="77777777" w:rsidTr="5A895294">
              <w:trPr>
                <w:cantSplit/>
                <w:trHeight w:val="300"/>
                <w:tblHeader/>
              </w:trPr>
              <w:tc>
                <w:tcPr>
                  <w:tcW w:w="2694" w:type="dxa"/>
                  <w:noWrap/>
                  <w:vAlign w:val="bottom"/>
                </w:tcPr>
                <w:p w14:paraId="04F0A17D" w14:textId="750605A0" w:rsidR="008400FD" w:rsidRPr="00494430" w:rsidRDefault="258ADEFB" w:rsidP="008400FD">
                  <w:r w:rsidRPr="00494430">
                    <w:t>Elected Members</w:t>
                  </w:r>
                </w:p>
              </w:tc>
              <w:tc>
                <w:tcPr>
                  <w:tcW w:w="3110" w:type="dxa"/>
                  <w:noWrap/>
                  <w:vAlign w:val="bottom"/>
                </w:tcPr>
                <w:p w14:paraId="1E6FFA6D" w14:textId="4553487C" w:rsidR="008400FD" w:rsidRPr="00494430" w:rsidRDefault="258ADEFB" w:rsidP="008400FD">
                  <w:r w:rsidRPr="00494430">
                    <w:t>Impacts on Governance structures</w:t>
                  </w:r>
                </w:p>
              </w:tc>
              <w:tc>
                <w:tcPr>
                  <w:tcW w:w="3126" w:type="dxa"/>
                  <w:noWrap/>
                  <w:vAlign w:val="bottom"/>
                </w:tcPr>
                <w:p w14:paraId="48E6DC0C" w14:textId="00A63F69" w:rsidR="008400FD" w:rsidRPr="00494430" w:rsidRDefault="258ADEFB" w:rsidP="008400FD">
                  <w:r w:rsidRPr="00494430">
                    <w:t>High</w:t>
                  </w:r>
                </w:p>
              </w:tc>
            </w:tr>
            <w:tr w:rsidR="008400FD" w:rsidRPr="00494430" w14:paraId="4B14FF40" w14:textId="77777777" w:rsidTr="5A895294">
              <w:trPr>
                <w:cantSplit/>
                <w:trHeight w:val="300"/>
                <w:tblHeader/>
              </w:trPr>
              <w:tc>
                <w:tcPr>
                  <w:tcW w:w="2694" w:type="dxa"/>
                  <w:noWrap/>
                  <w:vAlign w:val="bottom"/>
                </w:tcPr>
                <w:p w14:paraId="6E93F65E" w14:textId="60CF443F" w:rsidR="008400FD" w:rsidRPr="00494430" w:rsidRDefault="727FE3D8" w:rsidP="008400FD">
                  <w:r w:rsidRPr="00494430">
                    <w:t>TTC Board</w:t>
                  </w:r>
                </w:p>
              </w:tc>
              <w:tc>
                <w:tcPr>
                  <w:tcW w:w="3110" w:type="dxa"/>
                  <w:noWrap/>
                  <w:vAlign w:val="bottom"/>
                </w:tcPr>
                <w:p w14:paraId="3D5F6D9C" w14:textId="4C5CC43B" w:rsidR="008400FD" w:rsidRPr="00494430" w:rsidRDefault="727FE3D8" w:rsidP="5A895294">
                  <w:r w:rsidRPr="00494430">
                    <w:t>Corporate foundations required for the Programme</w:t>
                  </w:r>
                </w:p>
              </w:tc>
              <w:tc>
                <w:tcPr>
                  <w:tcW w:w="3126" w:type="dxa"/>
                  <w:noWrap/>
                  <w:vAlign w:val="bottom"/>
                </w:tcPr>
                <w:p w14:paraId="10FCBE16" w14:textId="71984E9A" w:rsidR="008400FD" w:rsidRPr="00494430" w:rsidRDefault="727FE3D8" w:rsidP="008400FD">
                  <w:r w:rsidRPr="00494430">
                    <w:t>High</w:t>
                  </w:r>
                </w:p>
              </w:tc>
            </w:tr>
            <w:tr w:rsidR="008400FD" w:rsidRPr="00494430" w14:paraId="6690F9DB" w14:textId="77777777" w:rsidTr="5A895294">
              <w:trPr>
                <w:cantSplit/>
                <w:trHeight w:val="300"/>
                <w:tblHeader/>
              </w:trPr>
              <w:tc>
                <w:tcPr>
                  <w:tcW w:w="2694" w:type="dxa"/>
                  <w:noWrap/>
                  <w:vAlign w:val="bottom"/>
                </w:tcPr>
                <w:p w14:paraId="7F9108FF" w14:textId="4A8FDB4F" w:rsidR="008400FD" w:rsidRPr="00494430" w:rsidRDefault="3973B71A" w:rsidP="008400FD">
                  <w:r w:rsidRPr="00494430">
                    <w:t>External Legal Firm</w:t>
                  </w:r>
                </w:p>
              </w:tc>
              <w:tc>
                <w:tcPr>
                  <w:tcW w:w="3110" w:type="dxa"/>
                  <w:noWrap/>
                  <w:vAlign w:val="bottom"/>
                </w:tcPr>
                <w:p w14:paraId="7A131B2A" w14:textId="31B7FA60" w:rsidR="008400FD" w:rsidRPr="00494430" w:rsidRDefault="3973B71A" w:rsidP="008400FD">
                  <w:r w:rsidRPr="00494430">
                    <w:t>Achieving project milestones</w:t>
                  </w:r>
                </w:p>
              </w:tc>
              <w:tc>
                <w:tcPr>
                  <w:tcW w:w="3126" w:type="dxa"/>
                  <w:noWrap/>
                  <w:vAlign w:val="bottom"/>
                </w:tcPr>
                <w:p w14:paraId="4A061644" w14:textId="043A31E9" w:rsidR="008400FD" w:rsidRPr="00494430" w:rsidRDefault="3973B71A" w:rsidP="008400FD">
                  <w:r w:rsidRPr="00494430">
                    <w:t>High</w:t>
                  </w:r>
                </w:p>
              </w:tc>
            </w:tr>
            <w:tr w:rsidR="008400FD" w:rsidRPr="00494430" w14:paraId="02E750DC" w14:textId="77777777" w:rsidTr="5A895294">
              <w:trPr>
                <w:cantSplit/>
                <w:trHeight w:val="300"/>
                <w:tblHeader/>
              </w:trPr>
              <w:tc>
                <w:tcPr>
                  <w:tcW w:w="2694" w:type="dxa"/>
                  <w:noWrap/>
                  <w:vAlign w:val="bottom"/>
                </w:tcPr>
                <w:p w14:paraId="62CE2784" w14:textId="717C1CD2" w:rsidR="008400FD" w:rsidRPr="00494430" w:rsidRDefault="2AA2E149" w:rsidP="008400FD">
                  <w:r w:rsidRPr="00494430">
                    <w:t xml:space="preserve">Staff </w:t>
                  </w:r>
                </w:p>
              </w:tc>
              <w:tc>
                <w:tcPr>
                  <w:tcW w:w="3110" w:type="dxa"/>
                  <w:noWrap/>
                  <w:vAlign w:val="bottom"/>
                </w:tcPr>
                <w:p w14:paraId="19CECE71" w14:textId="783A9064" w:rsidR="008400FD" w:rsidRPr="00494430" w:rsidRDefault="2AA2E149" w:rsidP="008400FD">
                  <w:r w:rsidRPr="00494430">
                    <w:t>Employee implications of new operating models</w:t>
                  </w:r>
                </w:p>
              </w:tc>
              <w:tc>
                <w:tcPr>
                  <w:tcW w:w="3126" w:type="dxa"/>
                  <w:noWrap/>
                  <w:vAlign w:val="bottom"/>
                </w:tcPr>
                <w:p w14:paraId="2DD29693" w14:textId="37639DD0" w:rsidR="008400FD" w:rsidRPr="00494430" w:rsidRDefault="2AA2E149" w:rsidP="008400FD">
                  <w:r w:rsidRPr="00494430">
                    <w:t xml:space="preserve">High </w:t>
                  </w:r>
                </w:p>
              </w:tc>
            </w:tr>
            <w:tr w:rsidR="008400FD" w:rsidRPr="00494430" w14:paraId="781BF3D6" w14:textId="77777777" w:rsidTr="5A895294">
              <w:trPr>
                <w:cantSplit/>
                <w:trHeight w:val="300"/>
                <w:tblHeader/>
              </w:trPr>
              <w:tc>
                <w:tcPr>
                  <w:tcW w:w="2694" w:type="dxa"/>
                  <w:noWrap/>
                  <w:vAlign w:val="bottom"/>
                </w:tcPr>
                <w:p w14:paraId="7F15B806" w14:textId="78911885" w:rsidR="008400FD" w:rsidRPr="00494430" w:rsidRDefault="2AA2E149" w:rsidP="008400FD">
                  <w:r w:rsidRPr="00494430">
                    <w:t>HR</w:t>
                  </w:r>
                </w:p>
              </w:tc>
              <w:tc>
                <w:tcPr>
                  <w:tcW w:w="3110" w:type="dxa"/>
                  <w:noWrap/>
                  <w:vAlign w:val="bottom"/>
                </w:tcPr>
                <w:p w14:paraId="12C8748A" w14:textId="783A9064" w:rsidR="008400FD" w:rsidRPr="00494430" w:rsidRDefault="2AA2E149" w:rsidP="5A895294">
                  <w:r w:rsidRPr="00494430">
                    <w:t>Employee implications of new operating models</w:t>
                  </w:r>
                </w:p>
                <w:p w14:paraId="7F41AF8C" w14:textId="21E446F0" w:rsidR="008400FD" w:rsidRPr="00494430" w:rsidRDefault="008400FD" w:rsidP="008400FD"/>
              </w:tc>
              <w:tc>
                <w:tcPr>
                  <w:tcW w:w="3126" w:type="dxa"/>
                  <w:noWrap/>
                  <w:vAlign w:val="bottom"/>
                </w:tcPr>
                <w:p w14:paraId="15F877E3" w14:textId="25210AE0" w:rsidR="008400FD" w:rsidRPr="00494430" w:rsidRDefault="2AA2E149" w:rsidP="008400FD">
                  <w:r w:rsidRPr="00494430">
                    <w:t>High</w:t>
                  </w:r>
                </w:p>
              </w:tc>
            </w:tr>
          </w:tbl>
          <w:p w14:paraId="7D4C76BD" w14:textId="77777777" w:rsidR="008400FD" w:rsidRPr="00494430" w:rsidRDefault="008400FD" w:rsidP="008546D6"/>
          <w:p w14:paraId="1B0542A1" w14:textId="77777777" w:rsidR="003A541B" w:rsidRPr="00494430" w:rsidRDefault="003A541B" w:rsidP="008546D6"/>
        </w:tc>
      </w:tr>
    </w:tbl>
    <w:p w14:paraId="65D5BE7C" w14:textId="77777777" w:rsidR="009466FE" w:rsidRPr="00494430" w:rsidRDefault="009466FE" w:rsidP="008546D6"/>
    <w:p w14:paraId="2C0193E7" w14:textId="77777777" w:rsidR="003A541B" w:rsidRPr="00494430" w:rsidRDefault="003A541B" w:rsidP="008546D6">
      <w:pPr>
        <w:rPr>
          <w:rFonts w:cs="Arial"/>
          <w:b/>
          <w:bCs/>
        </w:rPr>
      </w:pPr>
    </w:p>
    <w:p w14:paraId="41672E86" w14:textId="68129596" w:rsidR="002A2F76" w:rsidRPr="00494430" w:rsidRDefault="3B62F17F" w:rsidP="008546D6">
      <w:pPr>
        <w:rPr>
          <w:rFonts w:cs="Arial"/>
          <w:b/>
          <w:bCs/>
        </w:rPr>
      </w:pPr>
      <w:r w:rsidRPr="00494430">
        <w:rPr>
          <w:rFonts w:cs="Arial"/>
          <w:b/>
          <w:bCs/>
        </w:rPr>
        <w:t>9.</w:t>
      </w:r>
      <w:r w:rsidR="00F21087" w:rsidRPr="00494430">
        <w:rPr>
          <w:rFonts w:cs="Arial"/>
        </w:rPr>
        <w:tab/>
      </w:r>
      <w:r w:rsidRPr="00494430">
        <w:rPr>
          <w:rFonts w:cs="Arial"/>
          <w:b/>
          <w:bCs/>
        </w:rPr>
        <w:t>Technical Assistance or Additional Support (Internal/External)</w:t>
      </w:r>
    </w:p>
    <w:p w14:paraId="4CF331B0" w14:textId="77777777" w:rsidR="004912A2" w:rsidRPr="00494430" w:rsidRDefault="004912A2" w:rsidP="008546D6">
      <w:pPr>
        <w:rPr>
          <w:rFonts w:cs="Arial"/>
        </w:rPr>
      </w:pPr>
    </w:p>
    <w:tbl>
      <w:tblPr>
        <w:tblStyle w:val="TableGrid"/>
        <w:tblW w:w="0" w:type="auto"/>
        <w:tblLook w:val="04A0" w:firstRow="1" w:lastRow="0" w:firstColumn="1" w:lastColumn="0" w:noHBand="0" w:noVBand="1"/>
      </w:tblPr>
      <w:tblGrid>
        <w:gridCol w:w="9628"/>
      </w:tblGrid>
      <w:tr w:rsidR="0062044C" w:rsidRPr="00494430" w14:paraId="08960391" w14:textId="77777777" w:rsidTr="50E7F296">
        <w:trPr>
          <w:trHeight w:val="300"/>
        </w:trPr>
        <w:tc>
          <w:tcPr>
            <w:tcW w:w="9628" w:type="dxa"/>
            <w:shd w:val="clear" w:color="auto" w:fill="3A7C22" w:themeFill="accent6" w:themeFillShade="BF"/>
          </w:tcPr>
          <w:p w14:paraId="4D6075DA" w14:textId="03E0C05B" w:rsidR="0062044C" w:rsidRPr="00494430" w:rsidRDefault="3B62F17F" w:rsidP="000832C0">
            <w:pPr>
              <w:spacing w:before="60" w:after="60"/>
              <w:rPr>
                <w:b/>
                <w:bCs/>
              </w:rPr>
            </w:pPr>
            <w:r w:rsidRPr="00494430">
              <w:rPr>
                <w:b/>
                <w:bCs/>
                <w:color w:val="FFFFFF" w:themeColor="background1"/>
              </w:rPr>
              <w:t>Please indicate any anticipated technical or internal/ external support that may be required to ensure the success of this workstream (</w:t>
            </w:r>
            <w:r w:rsidR="000832C0" w:rsidRPr="00494430">
              <w:rPr>
                <w:b/>
                <w:bCs/>
                <w:color w:val="FFFFFF" w:themeColor="background1"/>
              </w:rPr>
              <w:t>e.</w:t>
            </w:r>
            <w:r w:rsidRPr="00494430">
              <w:rPr>
                <w:b/>
                <w:bCs/>
                <w:color w:val="FFFFFF" w:themeColor="background1"/>
              </w:rPr>
              <w:t>g. procurement support).</w:t>
            </w:r>
          </w:p>
        </w:tc>
      </w:tr>
      <w:tr w:rsidR="0062044C" w:rsidRPr="00494430" w14:paraId="7843BD70" w14:textId="77777777" w:rsidTr="50E7F296">
        <w:trPr>
          <w:trHeight w:val="300"/>
        </w:trPr>
        <w:tc>
          <w:tcPr>
            <w:tcW w:w="9628" w:type="dxa"/>
          </w:tcPr>
          <w:p w14:paraId="7E137D35" w14:textId="52D0B8B2" w:rsidR="0062044C" w:rsidRPr="00494430" w:rsidRDefault="1D62B9F9" w:rsidP="00AE761C">
            <w:r w:rsidRPr="00494430">
              <w:t xml:space="preserve">This workstream will require support from internal functions to support the development and </w:t>
            </w:r>
            <w:r w:rsidR="6592C26F" w:rsidRPr="00494430">
              <w:t xml:space="preserve">implementation of models, </w:t>
            </w:r>
            <w:r w:rsidRPr="00494430">
              <w:t>including:</w:t>
            </w:r>
          </w:p>
          <w:p w14:paraId="493E430A" w14:textId="5F84D95E" w:rsidR="18708233" w:rsidRPr="00494430" w:rsidRDefault="18708233" w:rsidP="18708233">
            <w:pPr>
              <w:rPr>
                <w:rFonts w:eastAsia="Arial" w:cs="Arial"/>
              </w:rPr>
            </w:pPr>
          </w:p>
          <w:p w14:paraId="0135BA2B" w14:textId="7206B4FC" w:rsidR="4B31C52E" w:rsidRPr="00494430" w:rsidRDefault="4B31C52E" w:rsidP="18708233">
            <w:pPr>
              <w:pStyle w:val="ListParagraph"/>
              <w:numPr>
                <w:ilvl w:val="0"/>
                <w:numId w:val="1"/>
              </w:numPr>
              <w:spacing w:line="257" w:lineRule="auto"/>
              <w:rPr>
                <w:rFonts w:eastAsia="Arial" w:cs="Arial"/>
              </w:rPr>
            </w:pPr>
            <w:r w:rsidRPr="00494430">
              <w:rPr>
                <w:rFonts w:eastAsia="Arial" w:cs="Arial"/>
              </w:rPr>
              <w:t>HR</w:t>
            </w:r>
          </w:p>
          <w:p w14:paraId="25435718" w14:textId="79DFB128" w:rsidR="4B31C52E" w:rsidRPr="00494430" w:rsidRDefault="4B31C52E" w:rsidP="18708233">
            <w:pPr>
              <w:pStyle w:val="ListParagraph"/>
              <w:numPr>
                <w:ilvl w:val="0"/>
                <w:numId w:val="1"/>
              </w:numPr>
              <w:spacing w:line="257" w:lineRule="auto"/>
              <w:rPr>
                <w:rFonts w:eastAsia="Arial" w:cs="Arial"/>
              </w:rPr>
            </w:pPr>
            <w:r w:rsidRPr="00494430">
              <w:rPr>
                <w:rFonts w:eastAsia="Arial" w:cs="Arial"/>
              </w:rPr>
              <w:t xml:space="preserve">Procurement </w:t>
            </w:r>
          </w:p>
          <w:p w14:paraId="19D064A7" w14:textId="6450EBD9" w:rsidR="4B31C52E" w:rsidRPr="00494430" w:rsidRDefault="4B31C52E" w:rsidP="18708233">
            <w:pPr>
              <w:pStyle w:val="ListParagraph"/>
              <w:numPr>
                <w:ilvl w:val="0"/>
                <w:numId w:val="1"/>
              </w:numPr>
              <w:spacing w:line="257" w:lineRule="auto"/>
              <w:rPr>
                <w:rFonts w:eastAsia="Arial" w:cs="Arial"/>
              </w:rPr>
            </w:pPr>
            <w:r w:rsidRPr="00494430">
              <w:rPr>
                <w:rFonts w:eastAsia="Arial" w:cs="Arial"/>
              </w:rPr>
              <w:t xml:space="preserve">Information Governance </w:t>
            </w:r>
          </w:p>
          <w:p w14:paraId="781EBFA7" w14:textId="79789FD8" w:rsidR="4B31C52E" w:rsidRPr="00494430" w:rsidRDefault="4B31C52E" w:rsidP="18708233">
            <w:pPr>
              <w:pStyle w:val="ListParagraph"/>
              <w:numPr>
                <w:ilvl w:val="0"/>
                <w:numId w:val="1"/>
              </w:numPr>
              <w:spacing w:line="257" w:lineRule="auto"/>
              <w:rPr>
                <w:rFonts w:eastAsia="Arial" w:cs="Arial"/>
              </w:rPr>
            </w:pPr>
            <w:r w:rsidRPr="00494430">
              <w:rPr>
                <w:rFonts w:eastAsia="Arial" w:cs="Arial"/>
              </w:rPr>
              <w:t>Equalities</w:t>
            </w:r>
          </w:p>
          <w:p w14:paraId="6E7E9D16" w14:textId="0C63EF04" w:rsidR="4B31C52E" w:rsidRPr="00494430" w:rsidRDefault="4B31C52E" w:rsidP="18708233">
            <w:pPr>
              <w:pStyle w:val="ListParagraph"/>
              <w:numPr>
                <w:ilvl w:val="0"/>
                <w:numId w:val="1"/>
              </w:numPr>
              <w:spacing w:line="257" w:lineRule="auto"/>
              <w:rPr>
                <w:rFonts w:eastAsia="Arial" w:cs="Arial"/>
              </w:rPr>
            </w:pPr>
            <w:r w:rsidRPr="00494430">
              <w:rPr>
                <w:rFonts w:eastAsia="Arial" w:cs="Arial"/>
              </w:rPr>
              <w:t>Additional teams will be called on as required.</w:t>
            </w:r>
          </w:p>
          <w:p w14:paraId="4F403DEF" w14:textId="25EDFF1A" w:rsidR="18708233" w:rsidRPr="00494430" w:rsidRDefault="18708233" w:rsidP="18708233"/>
          <w:p w14:paraId="1D750558" w14:textId="488DC0FD" w:rsidR="009518E9" w:rsidRPr="00494430" w:rsidRDefault="6FC7D820" w:rsidP="18708233">
            <w:pPr>
              <w:rPr>
                <w:rFonts w:eastAsia="Arial" w:cs="Arial"/>
              </w:rPr>
            </w:pPr>
            <w:r w:rsidRPr="00494430">
              <w:t>External legal advice</w:t>
            </w:r>
            <w:r w:rsidRPr="00494430">
              <w:rPr>
                <w:rFonts w:eastAsia="Arial" w:cs="Arial"/>
                <w:sz w:val="28"/>
                <w:szCs w:val="28"/>
              </w:rPr>
              <w:t xml:space="preserve"> </w:t>
            </w:r>
            <w:r w:rsidRPr="00494430">
              <w:rPr>
                <w:rFonts w:eastAsia="Arial" w:cs="Arial"/>
              </w:rPr>
              <w:t xml:space="preserve">and support will be required </w:t>
            </w:r>
            <w:r w:rsidR="43AF79D9" w:rsidRPr="00494430">
              <w:rPr>
                <w:rFonts w:eastAsia="Arial" w:cs="Arial"/>
              </w:rPr>
              <w:t>for all aspects of the Governance project</w:t>
            </w:r>
            <w:r w:rsidR="48BE5625" w:rsidRPr="00494430">
              <w:rPr>
                <w:rFonts w:eastAsia="Arial" w:cs="Arial"/>
              </w:rPr>
              <w:t xml:space="preserve">. </w:t>
            </w:r>
            <w:r w:rsidR="003A541B" w:rsidRPr="00494430">
              <w:rPr>
                <w:rFonts w:eastAsia="Arial" w:cs="Arial"/>
              </w:rPr>
              <w:t xml:space="preserve"> </w:t>
            </w:r>
            <w:r w:rsidR="1A44FFE6" w:rsidRPr="00494430">
              <w:rPr>
                <w:rFonts w:eastAsia="Arial" w:cs="Arial"/>
              </w:rPr>
              <w:t>Please see the Bid document for further details.</w:t>
            </w:r>
          </w:p>
          <w:p w14:paraId="632AB3E1" w14:textId="77777777" w:rsidR="0062044C" w:rsidRPr="00494430" w:rsidRDefault="0062044C" w:rsidP="00AE761C"/>
        </w:tc>
      </w:tr>
    </w:tbl>
    <w:p w14:paraId="73EF1FCB" w14:textId="77777777" w:rsidR="002A2F76" w:rsidRPr="00494430" w:rsidRDefault="002A2F76" w:rsidP="008546D6">
      <w:pPr>
        <w:rPr>
          <w:rFonts w:ascii="Calibri" w:hAnsi="Calibri" w:cs="Calibri"/>
        </w:rPr>
      </w:pPr>
    </w:p>
    <w:p w14:paraId="2EFF36C2" w14:textId="77777777" w:rsidR="002A2F76" w:rsidRPr="00494430" w:rsidRDefault="002A2F76" w:rsidP="008546D6"/>
    <w:p w14:paraId="75ABAFB9" w14:textId="4E8B2D35" w:rsidR="007E708B" w:rsidRPr="00494430" w:rsidRDefault="007E708B" w:rsidP="007E708B">
      <w:pPr>
        <w:rPr>
          <w:b/>
          <w:bCs/>
        </w:rPr>
      </w:pPr>
      <w:r w:rsidRPr="00494430">
        <w:rPr>
          <w:b/>
          <w:bCs/>
        </w:rPr>
        <w:t>Scope approved by Board on ……</w:t>
      </w:r>
      <w:r w:rsidR="00F20678" w:rsidRPr="00494430">
        <w:rPr>
          <w:b/>
          <w:bCs/>
        </w:rPr>
        <w:t>……</w:t>
      </w:r>
      <w:r w:rsidRPr="00494430">
        <w:rPr>
          <w:b/>
          <w:bCs/>
        </w:rPr>
        <w:t>……………………</w:t>
      </w:r>
      <w:r w:rsidR="00F20678" w:rsidRPr="00494430">
        <w:rPr>
          <w:b/>
          <w:bCs/>
        </w:rPr>
        <w:t xml:space="preserve"> </w:t>
      </w:r>
      <w:r w:rsidRPr="00494430">
        <w:rPr>
          <w:b/>
          <w:bCs/>
        </w:rPr>
        <w:t>[Date]</w:t>
      </w:r>
    </w:p>
    <w:p w14:paraId="516F0A5E" w14:textId="77777777" w:rsidR="00D84368" w:rsidRDefault="00D84368" w:rsidP="00C23D31"/>
    <w:sectPr w:rsidR="00D84368" w:rsidSect="00F50487">
      <w:headerReference w:type="default" r:id="rId11"/>
      <w:footerReference w:type="default" r:id="rId12"/>
      <w:pgSz w:w="11906" w:h="16838"/>
      <w:pgMar w:top="1276" w:right="1134" w:bottom="1134" w:left="1134" w:header="426" w:footer="4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F771B" w14:textId="77777777" w:rsidR="007558C6" w:rsidRPr="00494430" w:rsidRDefault="007558C6" w:rsidP="00C60DFF">
      <w:r w:rsidRPr="00494430">
        <w:separator/>
      </w:r>
    </w:p>
  </w:endnote>
  <w:endnote w:type="continuationSeparator" w:id="0">
    <w:p w14:paraId="0E0563A0" w14:textId="77777777" w:rsidR="007558C6" w:rsidRPr="00494430" w:rsidRDefault="007558C6" w:rsidP="00C60DFF">
      <w:r w:rsidRPr="0049443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72D83" w14:textId="326BCA96" w:rsidR="00C60DFF" w:rsidRPr="00494430" w:rsidRDefault="00C60DFF" w:rsidP="008A2E60">
    <w:pPr>
      <w:pStyle w:val="Footer"/>
      <w:pBdr>
        <w:top w:val="thinThickSmallGap" w:sz="24" w:space="1" w:color="3A7C22" w:themeColor="accent6" w:themeShade="BF"/>
      </w:pBdr>
      <w:tabs>
        <w:tab w:val="clear" w:pos="4513"/>
        <w:tab w:val="clear" w:pos="9026"/>
        <w:tab w:val="right" w:pos="9639"/>
      </w:tabs>
      <w:rPr>
        <w:b/>
        <w:bCs/>
        <w:color w:val="196B24" w:themeColor="accent3"/>
        <w:sz w:val="8"/>
        <w:szCs w:val="8"/>
      </w:rPr>
    </w:pPr>
  </w:p>
  <w:p w14:paraId="79792B7C" w14:textId="5472C2FD" w:rsidR="00C60DFF" w:rsidRPr="00494430" w:rsidRDefault="00C60DFF" w:rsidP="00C60DFF">
    <w:pPr>
      <w:pStyle w:val="Footer"/>
      <w:jc w:val="center"/>
      <w:rPr>
        <w:b/>
        <w:bCs/>
        <w:color w:val="3A7C22" w:themeColor="accent6" w:themeShade="BF"/>
        <w:sz w:val="30"/>
        <w:szCs w:val="30"/>
      </w:rPr>
    </w:pPr>
    <w:r w:rsidRPr="00494430">
      <w:rPr>
        <w:b/>
        <w:bCs/>
        <w:color w:val="3A7C22" w:themeColor="accent6" w:themeShade="BF"/>
        <w:sz w:val="30"/>
        <w:szCs w:val="30"/>
      </w:rPr>
      <w:t xml:space="preserve">Transformation </w:t>
    </w:r>
    <w:r w:rsidR="004F4183" w:rsidRPr="00494430">
      <w:rPr>
        <w:b/>
        <w:bCs/>
        <w:color w:val="3A7C22" w:themeColor="accent6" w:themeShade="BF"/>
        <w:sz w:val="30"/>
        <w:szCs w:val="30"/>
      </w:rPr>
      <w:t>t</w:t>
    </w:r>
    <w:r w:rsidRPr="00494430">
      <w:rPr>
        <w:b/>
        <w:bCs/>
        <w:color w:val="3A7C22" w:themeColor="accent6" w:themeShade="BF"/>
        <w:sz w:val="30"/>
        <w:szCs w:val="30"/>
      </w:rPr>
      <w:t>hrough Collaboration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81F57" w14:textId="77777777" w:rsidR="007558C6" w:rsidRPr="00494430" w:rsidRDefault="007558C6" w:rsidP="00C60DFF">
      <w:r w:rsidRPr="00494430">
        <w:separator/>
      </w:r>
    </w:p>
  </w:footnote>
  <w:footnote w:type="continuationSeparator" w:id="0">
    <w:p w14:paraId="6B6A2827" w14:textId="77777777" w:rsidR="007558C6" w:rsidRPr="00494430" w:rsidRDefault="007558C6" w:rsidP="00C60DFF">
      <w:r w:rsidRPr="0049443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6A1B6" w14:textId="4B1C840C" w:rsidR="00F50487" w:rsidRPr="00494430" w:rsidRDefault="00D84368" w:rsidP="00D13C85">
    <w:pPr>
      <w:pStyle w:val="Header"/>
      <w:jc w:val="center"/>
      <w:rPr>
        <w:b/>
        <w:bCs/>
        <w:color w:val="3A7C22" w:themeColor="accent6" w:themeShade="BF"/>
        <w:sz w:val="32"/>
        <w:szCs w:val="32"/>
      </w:rPr>
    </w:pPr>
    <w:r w:rsidRPr="00494430">
      <w:rPr>
        <w:b/>
        <w:bCs/>
        <w:color w:val="3A7C22" w:themeColor="accent6" w:themeShade="BF"/>
        <w:sz w:val="32"/>
        <w:szCs w:val="32"/>
      </w:rPr>
      <w:t>Workstream Scope</w:t>
    </w:r>
  </w:p>
  <w:p w14:paraId="22067818" w14:textId="77777777" w:rsidR="00F50487" w:rsidRPr="00494430" w:rsidRDefault="00F50487" w:rsidP="00F50487">
    <w:pPr>
      <w:pStyle w:val="Header"/>
      <w:jc w:val="center"/>
      <w:rPr>
        <w:b/>
        <w:bCs/>
        <w:color w:val="196B24" w:themeColor="accent3"/>
        <w:sz w:val="12"/>
        <w:szCs w:val="12"/>
      </w:rPr>
    </w:pPr>
  </w:p>
  <w:p w14:paraId="6D39F44E" w14:textId="77777777" w:rsidR="00F50487" w:rsidRPr="00494430" w:rsidRDefault="00F50487" w:rsidP="008A2E60">
    <w:pPr>
      <w:pStyle w:val="Footer"/>
      <w:pBdr>
        <w:top w:val="thinThickSmallGap" w:sz="24" w:space="1" w:color="3A7C22" w:themeColor="accent6" w:themeShade="BF"/>
      </w:pBdr>
      <w:tabs>
        <w:tab w:val="clear" w:pos="4513"/>
        <w:tab w:val="clear" w:pos="9026"/>
        <w:tab w:val="right" w:pos="9639"/>
      </w:tabs>
      <w:rPr>
        <w:b/>
        <w:bCs/>
        <w:color w:val="196B24" w:themeColor="accent3"/>
        <w:sz w:val="8"/>
        <w:szCs w:val="8"/>
      </w:rPr>
    </w:pPr>
  </w:p>
</w:hdr>
</file>

<file path=word/intelligence2.xml><?xml version="1.0" encoding="utf-8"?>
<int2:intelligence xmlns:int2="http://schemas.microsoft.com/office/intelligence/2020/intelligence" xmlns:oel="http://schemas.microsoft.com/office/2019/extlst">
  <int2:observations>
    <int2:textHash int2:hashCode="kByidkXaRxGvMx" int2:id="1IiqM1Qq">
      <int2:state int2:value="Rejected" int2:type="spell"/>
    </int2:textHash>
    <int2:textHash int2:hashCode="nRSox3TdiEm2GZ" int2:id="lhbXQZcK">
      <int2:state int2:value="Rejected" int2:type="spell"/>
    </int2:textHash>
    <int2:textHash int2:hashCode="ni8UUdXdlt6RIo" int2:id="q6cfUdlm">
      <int2:state int2:value="Rejected" int2:type="spell"/>
    </int2:textHash>
    <int2:bookmark int2:bookmarkName="_Int_qjl7v426" int2:invalidationBookmarkName="" int2:hashCode="Ck16GrcCf+HsyU" int2:id="H14MaY2v">
      <int2:state int2:value="Rejected" int2:type="gram"/>
    </int2:bookmark>
    <int2:bookmark int2:bookmarkName="_Int_GS7ovMDg" int2:invalidationBookmarkName="" int2:hashCode="Ck16GrcCf+HsyU" int2:id="sFqU4dZo">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020AC"/>
    <w:multiLevelType w:val="multilevel"/>
    <w:tmpl w:val="0ECE7B72"/>
    <w:numStyleLink w:val="Numbered"/>
  </w:abstractNum>
  <w:abstractNum w:abstractNumId="1" w15:restartNumberingAfterBreak="0">
    <w:nsid w:val="168D59F7"/>
    <w:multiLevelType w:val="multilevel"/>
    <w:tmpl w:val="0ECE7B72"/>
    <w:styleLink w:val="Numbered"/>
    <w:lvl w:ilvl="0">
      <w:start w:val="1"/>
      <w:numFmt w:val="decimal"/>
      <w:lvlText w:val="%1.0"/>
      <w:lvlJc w:val="left"/>
      <w:pPr>
        <w:ind w:left="709" w:hanging="709"/>
      </w:pPr>
      <w:rPr>
        <w:rFonts w:ascii="Arial" w:hAnsi="Arial" w:hint="default"/>
        <w:b/>
        <w:i w:val="0"/>
      </w:rPr>
    </w:lvl>
    <w:lvl w:ilvl="1">
      <w:start w:val="1"/>
      <w:numFmt w:val="decimal"/>
      <w:lvlText w:val="%2.1"/>
      <w:lvlJc w:val="left"/>
      <w:pPr>
        <w:ind w:left="1418" w:hanging="709"/>
      </w:pPr>
      <w:rPr>
        <w:rFonts w:hint="default"/>
      </w:rPr>
    </w:lvl>
    <w:lvl w:ilvl="2">
      <w:start w:val="1"/>
      <w:numFmt w:val="lowerRoman"/>
      <w:lvlText w:val="%3)"/>
      <w:lvlJc w:val="left"/>
      <w:pPr>
        <w:ind w:left="2127" w:hanging="709"/>
      </w:pPr>
      <w:rPr>
        <w:rFonts w:hint="default"/>
      </w:rPr>
    </w:lvl>
    <w:lvl w:ilvl="3">
      <w:start w:val="1"/>
      <w:numFmt w:val="decimal"/>
      <w:lvlText w:val="(%4)"/>
      <w:lvlJc w:val="left"/>
      <w:pPr>
        <w:ind w:left="2836" w:hanging="709"/>
      </w:pPr>
      <w:rPr>
        <w:rFonts w:hint="default"/>
      </w:rPr>
    </w:lvl>
    <w:lvl w:ilvl="4">
      <w:start w:val="1"/>
      <w:numFmt w:val="lowerLetter"/>
      <w:lvlText w:val="(%5)"/>
      <w:lvlJc w:val="left"/>
      <w:pPr>
        <w:ind w:left="3545" w:hanging="709"/>
      </w:pPr>
      <w:rPr>
        <w:rFonts w:hint="default"/>
      </w:rPr>
    </w:lvl>
    <w:lvl w:ilvl="5">
      <w:start w:val="1"/>
      <w:numFmt w:val="lowerRoman"/>
      <w:lvlText w:val="(%6)"/>
      <w:lvlJc w:val="left"/>
      <w:pPr>
        <w:ind w:left="4254" w:hanging="709"/>
      </w:pPr>
      <w:rPr>
        <w:rFonts w:hint="default"/>
      </w:rPr>
    </w:lvl>
    <w:lvl w:ilvl="6">
      <w:start w:val="1"/>
      <w:numFmt w:val="decimal"/>
      <w:lvlText w:val="%7."/>
      <w:lvlJc w:val="left"/>
      <w:pPr>
        <w:ind w:left="4963" w:hanging="709"/>
      </w:pPr>
      <w:rPr>
        <w:rFonts w:hint="default"/>
      </w:rPr>
    </w:lvl>
    <w:lvl w:ilvl="7">
      <w:start w:val="1"/>
      <w:numFmt w:val="lowerLetter"/>
      <w:lvlText w:val="%8."/>
      <w:lvlJc w:val="left"/>
      <w:pPr>
        <w:ind w:left="5672" w:hanging="709"/>
      </w:pPr>
      <w:rPr>
        <w:rFonts w:hint="default"/>
      </w:rPr>
    </w:lvl>
    <w:lvl w:ilvl="8">
      <w:start w:val="1"/>
      <w:numFmt w:val="lowerRoman"/>
      <w:lvlText w:val="%9."/>
      <w:lvlJc w:val="left"/>
      <w:pPr>
        <w:ind w:left="6381" w:hanging="709"/>
      </w:pPr>
      <w:rPr>
        <w:rFonts w:hint="default"/>
      </w:rPr>
    </w:lvl>
  </w:abstractNum>
  <w:abstractNum w:abstractNumId="2" w15:restartNumberingAfterBreak="0">
    <w:nsid w:val="27A8FCA0"/>
    <w:multiLevelType w:val="hybridMultilevel"/>
    <w:tmpl w:val="5ADC055C"/>
    <w:lvl w:ilvl="0" w:tplc="1A64EAF6">
      <w:start w:val="1"/>
      <w:numFmt w:val="bullet"/>
      <w:lvlText w:val="-"/>
      <w:lvlJc w:val="left"/>
      <w:pPr>
        <w:ind w:left="720" w:hanging="360"/>
      </w:pPr>
      <w:rPr>
        <w:rFonts w:ascii="Calibri" w:hAnsi="Calibri" w:hint="default"/>
      </w:rPr>
    </w:lvl>
    <w:lvl w:ilvl="1" w:tplc="A4921A36">
      <w:start w:val="1"/>
      <w:numFmt w:val="bullet"/>
      <w:lvlText w:val="o"/>
      <w:lvlJc w:val="left"/>
      <w:pPr>
        <w:ind w:left="1440" w:hanging="360"/>
      </w:pPr>
      <w:rPr>
        <w:rFonts w:ascii="Calibri" w:hAnsi="Calibri" w:hint="default"/>
      </w:rPr>
    </w:lvl>
    <w:lvl w:ilvl="2" w:tplc="CEF8997C">
      <w:start w:val="1"/>
      <w:numFmt w:val="bullet"/>
      <w:lvlText w:val=""/>
      <w:lvlJc w:val="left"/>
      <w:pPr>
        <w:ind w:left="2160" w:hanging="360"/>
      </w:pPr>
      <w:rPr>
        <w:rFonts w:ascii="Wingdings" w:hAnsi="Wingdings" w:hint="default"/>
      </w:rPr>
    </w:lvl>
    <w:lvl w:ilvl="3" w:tplc="C89698F4">
      <w:start w:val="1"/>
      <w:numFmt w:val="bullet"/>
      <w:lvlText w:val=""/>
      <w:lvlJc w:val="left"/>
      <w:pPr>
        <w:ind w:left="2880" w:hanging="360"/>
      </w:pPr>
      <w:rPr>
        <w:rFonts w:ascii="Symbol" w:hAnsi="Symbol" w:hint="default"/>
      </w:rPr>
    </w:lvl>
    <w:lvl w:ilvl="4" w:tplc="4670CCB8">
      <w:start w:val="1"/>
      <w:numFmt w:val="bullet"/>
      <w:lvlText w:val="o"/>
      <w:lvlJc w:val="left"/>
      <w:pPr>
        <w:ind w:left="3600" w:hanging="360"/>
      </w:pPr>
      <w:rPr>
        <w:rFonts w:ascii="Courier New" w:hAnsi="Courier New" w:hint="default"/>
      </w:rPr>
    </w:lvl>
    <w:lvl w:ilvl="5" w:tplc="61488F4A">
      <w:start w:val="1"/>
      <w:numFmt w:val="bullet"/>
      <w:lvlText w:val=""/>
      <w:lvlJc w:val="left"/>
      <w:pPr>
        <w:ind w:left="4320" w:hanging="360"/>
      </w:pPr>
      <w:rPr>
        <w:rFonts w:ascii="Wingdings" w:hAnsi="Wingdings" w:hint="default"/>
      </w:rPr>
    </w:lvl>
    <w:lvl w:ilvl="6" w:tplc="871A51AC">
      <w:start w:val="1"/>
      <w:numFmt w:val="bullet"/>
      <w:lvlText w:val=""/>
      <w:lvlJc w:val="left"/>
      <w:pPr>
        <w:ind w:left="5040" w:hanging="360"/>
      </w:pPr>
      <w:rPr>
        <w:rFonts w:ascii="Symbol" w:hAnsi="Symbol" w:hint="default"/>
      </w:rPr>
    </w:lvl>
    <w:lvl w:ilvl="7" w:tplc="B8C633CC">
      <w:start w:val="1"/>
      <w:numFmt w:val="bullet"/>
      <w:lvlText w:val="o"/>
      <w:lvlJc w:val="left"/>
      <w:pPr>
        <w:ind w:left="5760" w:hanging="360"/>
      </w:pPr>
      <w:rPr>
        <w:rFonts w:ascii="Courier New" w:hAnsi="Courier New" w:hint="default"/>
      </w:rPr>
    </w:lvl>
    <w:lvl w:ilvl="8" w:tplc="A088247A">
      <w:start w:val="1"/>
      <w:numFmt w:val="bullet"/>
      <w:lvlText w:val=""/>
      <w:lvlJc w:val="left"/>
      <w:pPr>
        <w:ind w:left="6480" w:hanging="360"/>
      </w:pPr>
      <w:rPr>
        <w:rFonts w:ascii="Wingdings" w:hAnsi="Wingdings" w:hint="default"/>
      </w:rPr>
    </w:lvl>
  </w:abstractNum>
  <w:abstractNum w:abstractNumId="3" w15:restartNumberingAfterBreak="0">
    <w:nsid w:val="38A26051"/>
    <w:multiLevelType w:val="hybridMultilevel"/>
    <w:tmpl w:val="07FA83D0"/>
    <w:lvl w:ilvl="0" w:tplc="4C04A87C">
      <w:start w:val="1"/>
      <w:numFmt w:val="bullet"/>
      <w:lvlText w:val="-"/>
      <w:lvlJc w:val="left"/>
      <w:pPr>
        <w:ind w:left="720" w:hanging="360"/>
      </w:pPr>
      <w:rPr>
        <w:rFonts w:ascii="Calibri" w:hAnsi="Calibri" w:hint="default"/>
      </w:rPr>
    </w:lvl>
    <w:lvl w:ilvl="1" w:tplc="27649B34">
      <w:start w:val="1"/>
      <w:numFmt w:val="bullet"/>
      <w:lvlText w:val="o"/>
      <w:lvlJc w:val="left"/>
      <w:pPr>
        <w:ind w:left="1440" w:hanging="360"/>
      </w:pPr>
      <w:rPr>
        <w:rFonts w:ascii="Courier New" w:hAnsi="Courier New" w:hint="default"/>
      </w:rPr>
    </w:lvl>
    <w:lvl w:ilvl="2" w:tplc="A1BE887A">
      <w:start w:val="1"/>
      <w:numFmt w:val="bullet"/>
      <w:lvlText w:val=""/>
      <w:lvlJc w:val="left"/>
      <w:pPr>
        <w:ind w:left="2160" w:hanging="360"/>
      </w:pPr>
      <w:rPr>
        <w:rFonts w:ascii="Wingdings" w:hAnsi="Wingdings" w:hint="default"/>
      </w:rPr>
    </w:lvl>
    <w:lvl w:ilvl="3" w:tplc="1DAE1F58">
      <w:start w:val="1"/>
      <w:numFmt w:val="bullet"/>
      <w:lvlText w:val=""/>
      <w:lvlJc w:val="left"/>
      <w:pPr>
        <w:ind w:left="2880" w:hanging="360"/>
      </w:pPr>
      <w:rPr>
        <w:rFonts w:ascii="Symbol" w:hAnsi="Symbol" w:hint="default"/>
      </w:rPr>
    </w:lvl>
    <w:lvl w:ilvl="4" w:tplc="DC16E32E">
      <w:start w:val="1"/>
      <w:numFmt w:val="bullet"/>
      <w:lvlText w:val="o"/>
      <w:lvlJc w:val="left"/>
      <w:pPr>
        <w:ind w:left="3600" w:hanging="360"/>
      </w:pPr>
      <w:rPr>
        <w:rFonts w:ascii="Courier New" w:hAnsi="Courier New" w:hint="default"/>
      </w:rPr>
    </w:lvl>
    <w:lvl w:ilvl="5" w:tplc="167E29F8">
      <w:start w:val="1"/>
      <w:numFmt w:val="bullet"/>
      <w:lvlText w:val=""/>
      <w:lvlJc w:val="left"/>
      <w:pPr>
        <w:ind w:left="4320" w:hanging="360"/>
      </w:pPr>
      <w:rPr>
        <w:rFonts w:ascii="Wingdings" w:hAnsi="Wingdings" w:hint="default"/>
      </w:rPr>
    </w:lvl>
    <w:lvl w:ilvl="6" w:tplc="71E4AEF0">
      <w:start w:val="1"/>
      <w:numFmt w:val="bullet"/>
      <w:lvlText w:val=""/>
      <w:lvlJc w:val="left"/>
      <w:pPr>
        <w:ind w:left="5040" w:hanging="360"/>
      </w:pPr>
      <w:rPr>
        <w:rFonts w:ascii="Symbol" w:hAnsi="Symbol" w:hint="default"/>
      </w:rPr>
    </w:lvl>
    <w:lvl w:ilvl="7" w:tplc="A4F85DEE">
      <w:start w:val="1"/>
      <w:numFmt w:val="bullet"/>
      <w:lvlText w:val="o"/>
      <w:lvlJc w:val="left"/>
      <w:pPr>
        <w:ind w:left="5760" w:hanging="360"/>
      </w:pPr>
      <w:rPr>
        <w:rFonts w:ascii="Courier New" w:hAnsi="Courier New" w:hint="default"/>
      </w:rPr>
    </w:lvl>
    <w:lvl w:ilvl="8" w:tplc="DCB25C12">
      <w:start w:val="1"/>
      <w:numFmt w:val="bullet"/>
      <w:lvlText w:val=""/>
      <w:lvlJc w:val="left"/>
      <w:pPr>
        <w:ind w:left="6480" w:hanging="360"/>
      </w:pPr>
      <w:rPr>
        <w:rFonts w:ascii="Wingdings" w:hAnsi="Wingdings" w:hint="default"/>
      </w:rPr>
    </w:lvl>
  </w:abstractNum>
  <w:abstractNum w:abstractNumId="4" w15:restartNumberingAfterBreak="0">
    <w:nsid w:val="44C342DB"/>
    <w:multiLevelType w:val="hybridMultilevel"/>
    <w:tmpl w:val="F9527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E09F18"/>
    <w:multiLevelType w:val="hybridMultilevel"/>
    <w:tmpl w:val="EA5A38D0"/>
    <w:lvl w:ilvl="0" w:tplc="E64A2BC4">
      <w:start w:val="1"/>
      <w:numFmt w:val="bullet"/>
      <w:lvlText w:val="-"/>
      <w:lvlJc w:val="left"/>
      <w:pPr>
        <w:ind w:left="720" w:hanging="360"/>
      </w:pPr>
      <w:rPr>
        <w:rFonts w:ascii="Calibri" w:hAnsi="Calibri" w:hint="default"/>
      </w:rPr>
    </w:lvl>
    <w:lvl w:ilvl="1" w:tplc="7A24305E">
      <w:start w:val="1"/>
      <w:numFmt w:val="bullet"/>
      <w:lvlText w:val="o"/>
      <w:lvlJc w:val="left"/>
      <w:pPr>
        <w:ind w:left="1440" w:hanging="360"/>
      </w:pPr>
      <w:rPr>
        <w:rFonts w:ascii="Courier New" w:hAnsi="Courier New" w:hint="default"/>
      </w:rPr>
    </w:lvl>
    <w:lvl w:ilvl="2" w:tplc="038A274E">
      <w:start w:val="1"/>
      <w:numFmt w:val="bullet"/>
      <w:lvlText w:val=""/>
      <w:lvlJc w:val="left"/>
      <w:pPr>
        <w:ind w:left="2160" w:hanging="360"/>
      </w:pPr>
      <w:rPr>
        <w:rFonts w:ascii="Wingdings" w:hAnsi="Wingdings" w:hint="default"/>
      </w:rPr>
    </w:lvl>
    <w:lvl w:ilvl="3" w:tplc="1E08915C">
      <w:start w:val="1"/>
      <w:numFmt w:val="bullet"/>
      <w:lvlText w:val=""/>
      <w:lvlJc w:val="left"/>
      <w:pPr>
        <w:ind w:left="2880" w:hanging="360"/>
      </w:pPr>
      <w:rPr>
        <w:rFonts w:ascii="Symbol" w:hAnsi="Symbol" w:hint="default"/>
      </w:rPr>
    </w:lvl>
    <w:lvl w:ilvl="4" w:tplc="F1FE4074">
      <w:start w:val="1"/>
      <w:numFmt w:val="bullet"/>
      <w:lvlText w:val="o"/>
      <w:lvlJc w:val="left"/>
      <w:pPr>
        <w:ind w:left="3600" w:hanging="360"/>
      </w:pPr>
      <w:rPr>
        <w:rFonts w:ascii="Courier New" w:hAnsi="Courier New" w:hint="default"/>
      </w:rPr>
    </w:lvl>
    <w:lvl w:ilvl="5" w:tplc="FD58BCEA">
      <w:start w:val="1"/>
      <w:numFmt w:val="bullet"/>
      <w:lvlText w:val=""/>
      <w:lvlJc w:val="left"/>
      <w:pPr>
        <w:ind w:left="4320" w:hanging="360"/>
      </w:pPr>
      <w:rPr>
        <w:rFonts w:ascii="Wingdings" w:hAnsi="Wingdings" w:hint="default"/>
      </w:rPr>
    </w:lvl>
    <w:lvl w:ilvl="6" w:tplc="D76283C2">
      <w:start w:val="1"/>
      <w:numFmt w:val="bullet"/>
      <w:lvlText w:val=""/>
      <w:lvlJc w:val="left"/>
      <w:pPr>
        <w:ind w:left="5040" w:hanging="360"/>
      </w:pPr>
      <w:rPr>
        <w:rFonts w:ascii="Symbol" w:hAnsi="Symbol" w:hint="default"/>
      </w:rPr>
    </w:lvl>
    <w:lvl w:ilvl="7" w:tplc="3AFE8736">
      <w:start w:val="1"/>
      <w:numFmt w:val="bullet"/>
      <w:lvlText w:val="o"/>
      <w:lvlJc w:val="left"/>
      <w:pPr>
        <w:ind w:left="5760" w:hanging="360"/>
      </w:pPr>
      <w:rPr>
        <w:rFonts w:ascii="Courier New" w:hAnsi="Courier New" w:hint="default"/>
      </w:rPr>
    </w:lvl>
    <w:lvl w:ilvl="8" w:tplc="B3DA4F8A">
      <w:start w:val="1"/>
      <w:numFmt w:val="bullet"/>
      <w:lvlText w:val=""/>
      <w:lvlJc w:val="left"/>
      <w:pPr>
        <w:ind w:left="6480" w:hanging="360"/>
      </w:pPr>
      <w:rPr>
        <w:rFonts w:ascii="Wingdings" w:hAnsi="Wingdings" w:hint="default"/>
      </w:rPr>
    </w:lvl>
  </w:abstractNum>
  <w:abstractNum w:abstractNumId="6" w15:restartNumberingAfterBreak="0">
    <w:nsid w:val="49087AA0"/>
    <w:multiLevelType w:val="multilevel"/>
    <w:tmpl w:val="0ECE7B72"/>
    <w:numStyleLink w:val="Numbered"/>
  </w:abstractNum>
  <w:abstractNum w:abstractNumId="7" w15:restartNumberingAfterBreak="0">
    <w:nsid w:val="498B2C47"/>
    <w:multiLevelType w:val="hybridMultilevel"/>
    <w:tmpl w:val="D214D66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15:restartNumberingAfterBreak="0">
    <w:nsid w:val="53ED7A4A"/>
    <w:multiLevelType w:val="multilevel"/>
    <w:tmpl w:val="0809001F"/>
    <w:lvl w:ilvl="0">
      <w:start w:val="1"/>
      <w:numFmt w:val="decimal"/>
      <w:lvlText w:val="%1."/>
      <w:lvlJc w:val="left"/>
      <w:pPr>
        <w:ind w:left="360" w:hanging="360"/>
      </w:pPr>
      <w:rPr>
        <w:rFonts w:hint="default"/>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C74245C"/>
    <w:multiLevelType w:val="multilevel"/>
    <w:tmpl w:val="0ECE7B72"/>
    <w:numStyleLink w:val="Numbered"/>
  </w:abstractNum>
  <w:abstractNum w:abstractNumId="10" w15:restartNumberingAfterBreak="0">
    <w:nsid w:val="5E0E1290"/>
    <w:multiLevelType w:val="multilevel"/>
    <w:tmpl w:val="0ECE7B72"/>
    <w:numStyleLink w:val="Numbered"/>
  </w:abstractNum>
  <w:abstractNum w:abstractNumId="11" w15:restartNumberingAfterBreak="0">
    <w:nsid w:val="5F0E6A65"/>
    <w:multiLevelType w:val="hybridMultilevel"/>
    <w:tmpl w:val="F45C1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7C5007"/>
    <w:multiLevelType w:val="hybridMultilevel"/>
    <w:tmpl w:val="9808122C"/>
    <w:lvl w:ilvl="0" w:tplc="FFFFFFFF">
      <w:start w:val="1"/>
      <w:numFmt w:val="bullet"/>
      <w:pStyle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5C08FC"/>
    <w:multiLevelType w:val="multilevel"/>
    <w:tmpl w:val="0ECE7B72"/>
    <w:numStyleLink w:val="Numbered"/>
  </w:abstractNum>
  <w:abstractNum w:abstractNumId="14" w15:restartNumberingAfterBreak="0">
    <w:nsid w:val="74245B91"/>
    <w:multiLevelType w:val="hybridMultilevel"/>
    <w:tmpl w:val="12F0F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679953">
    <w:abstractNumId w:val="5"/>
  </w:num>
  <w:num w:numId="2" w16cid:durableId="1135559244">
    <w:abstractNumId w:val="3"/>
  </w:num>
  <w:num w:numId="3" w16cid:durableId="1314723260">
    <w:abstractNumId w:val="2"/>
  </w:num>
  <w:num w:numId="4" w16cid:durableId="1270430902">
    <w:abstractNumId w:val="12"/>
  </w:num>
  <w:num w:numId="5" w16cid:durableId="1405225659">
    <w:abstractNumId w:val="8"/>
  </w:num>
  <w:num w:numId="6" w16cid:durableId="1354184690">
    <w:abstractNumId w:val="1"/>
  </w:num>
  <w:num w:numId="7" w16cid:durableId="1659772615">
    <w:abstractNumId w:val="13"/>
  </w:num>
  <w:num w:numId="8" w16cid:durableId="1303463962">
    <w:abstractNumId w:val="10"/>
  </w:num>
  <w:num w:numId="9" w16cid:durableId="1438481541">
    <w:abstractNumId w:val="9"/>
  </w:num>
  <w:num w:numId="10" w16cid:durableId="1684700034">
    <w:abstractNumId w:val="0"/>
  </w:num>
  <w:num w:numId="11" w16cid:durableId="2114200259">
    <w:abstractNumId w:val="6"/>
  </w:num>
  <w:num w:numId="12" w16cid:durableId="1924099207">
    <w:abstractNumId w:val="4"/>
  </w:num>
  <w:num w:numId="13" w16cid:durableId="1071540977">
    <w:abstractNumId w:val="14"/>
  </w:num>
  <w:num w:numId="14" w16cid:durableId="1980913898">
    <w:abstractNumId w:val="7"/>
  </w:num>
  <w:num w:numId="15" w16cid:durableId="76110017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DFF"/>
    <w:rsid w:val="00055319"/>
    <w:rsid w:val="0006008B"/>
    <w:rsid w:val="000652C6"/>
    <w:rsid w:val="00072929"/>
    <w:rsid w:val="000832C0"/>
    <w:rsid w:val="0011455D"/>
    <w:rsid w:val="001625B2"/>
    <w:rsid w:val="0016475E"/>
    <w:rsid w:val="001B3972"/>
    <w:rsid w:val="00233C23"/>
    <w:rsid w:val="00234ABE"/>
    <w:rsid w:val="00261D25"/>
    <w:rsid w:val="00267C9E"/>
    <w:rsid w:val="00275CD1"/>
    <w:rsid w:val="00286D5A"/>
    <w:rsid w:val="002A2F76"/>
    <w:rsid w:val="002A5ED0"/>
    <w:rsid w:val="002E6843"/>
    <w:rsid w:val="002F0EEC"/>
    <w:rsid w:val="002F5F03"/>
    <w:rsid w:val="00303674"/>
    <w:rsid w:val="0036443F"/>
    <w:rsid w:val="003731C9"/>
    <w:rsid w:val="003A541B"/>
    <w:rsid w:val="003B12FD"/>
    <w:rsid w:val="003B531E"/>
    <w:rsid w:val="003B6B56"/>
    <w:rsid w:val="003F270D"/>
    <w:rsid w:val="003F2846"/>
    <w:rsid w:val="00402492"/>
    <w:rsid w:val="0041511A"/>
    <w:rsid w:val="00423A94"/>
    <w:rsid w:val="004244C0"/>
    <w:rsid w:val="0043124B"/>
    <w:rsid w:val="00472D60"/>
    <w:rsid w:val="00486767"/>
    <w:rsid w:val="004912A2"/>
    <w:rsid w:val="00494430"/>
    <w:rsid w:val="004A1E37"/>
    <w:rsid w:val="004A4582"/>
    <w:rsid w:val="004B72FF"/>
    <w:rsid w:val="004D2E2E"/>
    <w:rsid w:val="004D61CA"/>
    <w:rsid w:val="004F4183"/>
    <w:rsid w:val="00502E23"/>
    <w:rsid w:val="005355B9"/>
    <w:rsid w:val="00544530"/>
    <w:rsid w:val="005566F7"/>
    <w:rsid w:val="00560625"/>
    <w:rsid w:val="006016A8"/>
    <w:rsid w:val="006154B3"/>
    <w:rsid w:val="0062044C"/>
    <w:rsid w:val="0063101D"/>
    <w:rsid w:val="00674C77"/>
    <w:rsid w:val="00684F73"/>
    <w:rsid w:val="006A6B10"/>
    <w:rsid w:val="006B348E"/>
    <w:rsid w:val="006C1A97"/>
    <w:rsid w:val="006C5887"/>
    <w:rsid w:val="006E3442"/>
    <w:rsid w:val="00702B53"/>
    <w:rsid w:val="00723C28"/>
    <w:rsid w:val="00751C23"/>
    <w:rsid w:val="007558C6"/>
    <w:rsid w:val="007560F4"/>
    <w:rsid w:val="007A2734"/>
    <w:rsid w:val="007A6E3B"/>
    <w:rsid w:val="007C7C48"/>
    <w:rsid w:val="007D35F5"/>
    <w:rsid w:val="007D66FC"/>
    <w:rsid w:val="007E708B"/>
    <w:rsid w:val="008400FD"/>
    <w:rsid w:val="008546D6"/>
    <w:rsid w:val="00855077"/>
    <w:rsid w:val="00857A7D"/>
    <w:rsid w:val="008770BE"/>
    <w:rsid w:val="00891184"/>
    <w:rsid w:val="008A2E60"/>
    <w:rsid w:val="008C2FEC"/>
    <w:rsid w:val="008D33C6"/>
    <w:rsid w:val="008D478B"/>
    <w:rsid w:val="008F3D8D"/>
    <w:rsid w:val="0092729C"/>
    <w:rsid w:val="009466FE"/>
    <w:rsid w:val="009518E9"/>
    <w:rsid w:val="0096790C"/>
    <w:rsid w:val="00974C50"/>
    <w:rsid w:val="00976746"/>
    <w:rsid w:val="00996B21"/>
    <w:rsid w:val="009D0E0D"/>
    <w:rsid w:val="00A15EDC"/>
    <w:rsid w:val="00A217DA"/>
    <w:rsid w:val="00A404EA"/>
    <w:rsid w:val="00A54FDF"/>
    <w:rsid w:val="00A613BC"/>
    <w:rsid w:val="00AD66CD"/>
    <w:rsid w:val="00AD7057"/>
    <w:rsid w:val="00AE761C"/>
    <w:rsid w:val="00B16D5A"/>
    <w:rsid w:val="00B20361"/>
    <w:rsid w:val="00B5483C"/>
    <w:rsid w:val="00B61453"/>
    <w:rsid w:val="00BE4565"/>
    <w:rsid w:val="00C00F9E"/>
    <w:rsid w:val="00C123DC"/>
    <w:rsid w:val="00C2085C"/>
    <w:rsid w:val="00C23D31"/>
    <w:rsid w:val="00C60DFF"/>
    <w:rsid w:val="00C85297"/>
    <w:rsid w:val="00CC7148"/>
    <w:rsid w:val="00CF0763"/>
    <w:rsid w:val="00CF3B5E"/>
    <w:rsid w:val="00D02E3F"/>
    <w:rsid w:val="00D0621F"/>
    <w:rsid w:val="00D13C85"/>
    <w:rsid w:val="00D6359E"/>
    <w:rsid w:val="00D84368"/>
    <w:rsid w:val="00D90937"/>
    <w:rsid w:val="00DA6585"/>
    <w:rsid w:val="00DB0DBF"/>
    <w:rsid w:val="00DB657C"/>
    <w:rsid w:val="00DE52B8"/>
    <w:rsid w:val="00E15FD0"/>
    <w:rsid w:val="00E37101"/>
    <w:rsid w:val="00E523B3"/>
    <w:rsid w:val="00E55953"/>
    <w:rsid w:val="00E66F67"/>
    <w:rsid w:val="00E83E0B"/>
    <w:rsid w:val="00EA0E1D"/>
    <w:rsid w:val="00EA132D"/>
    <w:rsid w:val="00EA3D46"/>
    <w:rsid w:val="00F06165"/>
    <w:rsid w:val="00F102BF"/>
    <w:rsid w:val="00F20678"/>
    <w:rsid w:val="00F21087"/>
    <w:rsid w:val="00F50487"/>
    <w:rsid w:val="00F775E3"/>
    <w:rsid w:val="00F8108B"/>
    <w:rsid w:val="00F8182E"/>
    <w:rsid w:val="00FE07A3"/>
    <w:rsid w:val="00FF3E6C"/>
    <w:rsid w:val="0117ADA5"/>
    <w:rsid w:val="0231CE3E"/>
    <w:rsid w:val="032F19A6"/>
    <w:rsid w:val="033BC685"/>
    <w:rsid w:val="0377FC37"/>
    <w:rsid w:val="03A8CCFC"/>
    <w:rsid w:val="04A72B3F"/>
    <w:rsid w:val="04A99496"/>
    <w:rsid w:val="04CC9F41"/>
    <w:rsid w:val="053D953D"/>
    <w:rsid w:val="05B90C5F"/>
    <w:rsid w:val="05E66827"/>
    <w:rsid w:val="06D45BB0"/>
    <w:rsid w:val="085B919B"/>
    <w:rsid w:val="08B8D491"/>
    <w:rsid w:val="08D7DFE7"/>
    <w:rsid w:val="09C0164E"/>
    <w:rsid w:val="0A2FE00B"/>
    <w:rsid w:val="0A69E689"/>
    <w:rsid w:val="0AB9DDC6"/>
    <w:rsid w:val="0AE970D6"/>
    <w:rsid w:val="0B4B7F8A"/>
    <w:rsid w:val="0B55878B"/>
    <w:rsid w:val="0BA3CABE"/>
    <w:rsid w:val="0C7EFF0A"/>
    <w:rsid w:val="0C8D8267"/>
    <w:rsid w:val="0CEC1A3A"/>
    <w:rsid w:val="0DF1E7B7"/>
    <w:rsid w:val="0E0BA229"/>
    <w:rsid w:val="0EA3FD33"/>
    <w:rsid w:val="0F3E95FA"/>
    <w:rsid w:val="0F73E852"/>
    <w:rsid w:val="0FBFCA74"/>
    <w:rsid w:val="0FE25AF0"/>
    <w:rsid w:val="11705E1F"/>
    <w:rsid w:val="11C3A2A6"/>
    <w:rsid w:val="12E4D521"/>
    <w:rsid w:val="139DCFF6"/>
    <w:rsid w:val="146363E6"/>
    <w:rsid w:val="154D0F41"/>
    <w:rsid w:val="1594365B"/>
    <w:rsid w:val="1639BEF9"/>
    <w:rsid w:val="166E6F4D"/>
    <w:rsid w:val="1672F460"/>
    <w:rsid w:val="1726E28C"/>
    <w:rsid w:val="1746857F"/>
    <w:rsid w:val="17C1557B"/>
    <w:rsid w:val="17D74B10"/>
    <w:rsid w:val="18708233"/>
    <w:rsid w:val="18E53BB3"/>
    <w:rsid w:val="190E764C"/>
    <w:rsid w:val="193B18E3"/>
    <w:rsid w:val="194B519E"/>
    <w:rsid w:val="19872F33"/>
    <w:rsid w:val="19C3C501"/>
    <w:rsid w:val="19FADEBA"/>
    <w:rsid w:val="1A44FFE6"/>
    <w:rsid w:val="1AEB59FA"/>
    <w:rsid w:val="1B342804"/>
    <w:rsid w:val="1B8BADA5"/>
    <w:rsid w:val="1B9BDE61"/>
    <w:rsid w:val="1D62B9F9"/>
    <w:rsid w:val="1E505D84"/>
    <w:rsid w:val="1E62843A"/>
    <w:rsid w:val="1EEA86A1"/>
    <w:rsid w:val="1EFF10A7"/>
    <w:rsid w:val="1F41B4BB"/>
    <w:rsid w:val="1F6243E4"/>
    <w:rsid w:val="2025226C"/>
    <w:rsid w:val="2090BECD"/>
    <w:rsid w:val="20BBF064"/>
    <w:rsid w:val="20DBB44B"/>
    <w:rsid w:val="215FF105"/>
    <w:rsid w:val="2485B639"/>
    <w:rsid w:val="24FA15BD"/>
    <w:rsid w:val="25751D20"/>
    <w:rsid w:val="258ADEFB"/>
    <w:rsid w:val="25C3A5FB"/>
    <w:rsid w:val="26810CE1"/>
    <w:rsid w:val="283DC8AD"/>
    <w:rsid w:val="287DFF19"/>
    <w:rsid w:val="29AD6C95"/>
    <w:rsid w:val="2A02759B"/>
    <w:rsid w:val="2AA2E149"/>
    <w:rsid w:val="2ACA3193"/>
    <w:rsid w:val="2AD41080"/>
    <w:rsid w:val="2B922ADA"/>
    <w:rsid w:val="2CE8C1C3"/>
    <w:rsid w:val="2CFFF1F6"/>
    <w:rsid w:val="2E565F6B"/>
    <w:rsid w:val="2EF16977"/>
    <w:rsid w:val="2F572158"/>
    <w:rsid w:val="2F675B91"/>
    <w:rsid w:val="2F72B198"/>
    <w:rsid w:val="30F59E78"/>
    <w:rsid w:val="31E026BD"/>
    <w:rsid w:val="323F14B5"/>
    <w:rsid w:val="3276080E"/>
    <w:rsid w:val="327BA029"/>
    <w:rsid w:val="332E4E69"/>
    <w:rsid w:val="3330843E"/>
    <w:rsid w:val="33ACA02E"/>
    <w:rsid w:val="34F1F993"/>
    <w:rsid w:val="356323CE"/>
    <w:rsid w:val="35A24CF4"/>
    <w:rsid w:val="363488B0"/>
    <w:rsid w:val="36402A42"/>
    <w:rsid w:val="36AB03D0"/>
    <w:rsid w:val="37C25F1E"/>
    <w:rsid w:val="381920C0"/>
    <w:rsid w:val="3973B71A"/>
    <w:rsid w:val="3A5FD94C"/>
    <w:rsid w:val="3ABCA870"/>
    <w:rsid w:val="3B43A6CB"/>
    <w:rsid w:val="3B62F17F"/>
    <w:rsid w:val="3C213E46"/>
    <w:rsid w:val="3C301EA1"/>
    <w:rsid w:val="3C32735C"/>
    <w:rsid w:val="3C7958EA"/>
    <w:rsid w:val="3D396CC2"/>
    <w:rsid w:val="3DB5E66E"/>
    <w:rsid w:val="3EB25B6D"/>
    <w:rsid w:val="3EDAF667"/>
    <w:rsid w:val="3F027168"/>
    <w:rsid w:val="3F3E5FEE"/>
    <w:rsid w:val="3F89FACF"/>
    <w:rsid w:val="40DB8058"/>
    <w:rsid w:val="41443F51"/>
    <w:rsid w:val="414DD41F"/>
    <w:rsid w:val="43668EF6"/>
    <w:rsid w:val="43AF79D9"/>
    <w:rsid w:val="448CB434"/>
    <w:rsid w:val="45A33C97"/>
    <w:rsid w:val="46921F75"/>
    <w:rsid w:val="46DB637D"/>
    <w:rsid w:val="48BE5625"/>
    <w:rsid w:val="4936C49C"/>
    <w:rsid w:val="49A0D9AB"/>
    <w:rsid w:val="4A104179"/>
    <w:rsid w:val="4A97A273"/>
    <w:rsid w:val="4AB055E2"/>
    <w:rsid w:val="4B31C52E"/>
    <w:rsid w:val="4B7181EB"/>
    <w:rsid w:val="4E5B411E"/>
    <w:rsid w:val="4E67B196"/>
    <w:rsid w:val="4E6CAA79"/>
    <w:rsid w:val="4EB8F51E"/>
    <w:rsid w:val="4EBD0650"/>
    <w:rsid w:val="4F84E971"/>
    <w:rsid w:val="4F9C63F2"/>
    <w:rsid w:val="4FB8F85F"/>
    <w:rsid w:val="4FD6FC42"/>
    <w:rsid w:val="4FED0AB6"/>
    <w:rsid w:val="4FF1BFFA"/>
    <w:rsid w:val="5033D987"/>
    <w:rsid w:val="50E7F296"/>
    <w:rsid w:val="51741ADA"/>
    <w:rsid w:val="52D1BF9C"/>
    <w:rsid w:val="5406D55D"/>
    <w:rsid w:val="5466DECC"/>
    <w:rsid w:val="552EB431"/>
    <w:rsid w:val="578F0B8B"/>
    <w:rsid w:val="57995E59"/>
    <w:rsid w:val="584EC104"/>
    <w:rsid w:val="587FF94D"/>
    <w:rsid w:val="59589868"/>
    <w:rsid w:val="597E136E"/>
    <w:rsid w:val="59838CCD"/>
    <w:rsid w:val="5A895294"/>
    <w:rsid w:val="5A91F496"/>
    <w:rsid w:val="5AAD1215"/>
    <w:rsid w:val="5ABF2AFA"/>
    <w:rsid w:val="5B8F4E0E"/>
    <w:rsid w:val="5CD02AB3"/>
    <w:rsid w:val="5E5C18D3"/>
    <w:rsid w:val="5E6C197D"/>
    <w:rsid w:val="5F0026E6"/>
    <w:rsid w:val="5F836CE2"/>
    <w:rsid w:val="6006565C"/>
    <w:rsid w:val="6045DC32"/>
    <w:rsid w:val="6073FA5E"/>
    <w:rsid w:val="6208B9AA"/>
    <w:rsid w:val="622137B4"/>
    <w:rsid w:val="62D224EE"/>
    <w:rsid w:val="62D38F51"/>
    <w:rsid w:val="634F2DBD"/>
    <w:rsid w:val="6382FEE7"/>
    <w:rsid w:val="63B8C508"/>
    <w:rsid w:val="641DFD59"/>
    <w:rsid w:val="643935EB"/>
    <w:rsid w:val="6443FFC0"/>
    <w:rsid w:val="648138F0"/>
    <w:rsid w:val="6592C26F"/>
    <w:rsid w:val="66564C69"/>
    <w:rsid w:val="6AD396A6"/>
    <w:rsid w:val="6CB071BF"/>
    <w:rsid w:val="6E1BDFDF"/>
    <w:rsid w:val="6E4A6459"/>
    <w:rsid w:val="6FC7D820"/>
    <w:rsid w:val="7095CE63"/>
    <w:rsid w:val="712AFE6F"/>
    <w:rsid w:val="727FE3D8"/>
    <w:rsid w:val="73296A12"/>
    <w:rsid w:val="73E751D9"/>
    <w:rsid w:val="75BE9884"/>
    <w:rsid w:val="76274FEF"/>
    <w:rsid w:val="776A5AAB"/>
    <w:rsid w:val="783D782F"/>
    <w:rsid w:val="7887A00D"/>
    <w:rsid w:val="78FEC8DD"/>
    <w:rsid w:val="7925D18C"/>
    <w:rsid w:val="7AD8CBE6"/>
    <w:rsid w:val="7B5CAF69"/>
    <w:rsid w:val="7C4B3EE5"/>
    <w:rsid w:val="7D310A99"/>
    <w:rsid w:val="7D32397C"/>
    <w:rsid w:val="7E28E775"/>
    <w:rsid w:val="7F2015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5156D3"/>
  <w15:chartTrackingRefBased/>
  <w15:docId w15:val="{639A642D-42F1-47F2-B1D1-982496E7F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5B2"/>
    <w:pPr>
      <w:spacing w:after="0" w:line="240" w:lineRule="auto"/>
    </w:pPr>
    <w:rPr>
      <w:rFonts w:ascii="Arial" w:hAnsi="Arial"/>
    </w:rPr>
  </w:style>
  <w:style w:type="paragraph" w:styleId="Heading1">
    <w:name w:val="heading 1"/>
    <w:aliases w:val="Heading Bold"/>
    <w:basedOn w:val="Normal"/>
    <w:next w:val="Normal"/>
    <w:link w:val="Heading1Char"/>
    <w:uiPriority w:val="9"/>
    <w:qFormat/>
    <w:rsid w:val="001625B2"/>
    <w:pPr>
      <w:keepNext/>
      <w:keepLines/>
      <w:outlineLvl w:val="0"/>
    </w:pPr>
    <w:rPr>
      <w:rFonts w:eastAsiaTheme="majorEastAsia" w:cstheme="majorBidi"/>
      <w:b/>
      <w:szCs w:val="32"/>
    </w:rPr>
  </w:style>
  <w:style w:type="paragraph" w:styleId="Heading2">
    <w:name w:val="heading 2"/>
    <w:aliases w:val="Italics"/>
    <w:basedOn w:val="Normal"/>
    <w:next w:val="Normal"/>
    <w:link w:val="Heading2Char"/>
    <w:uiPriority w:val="9"/>
    <w:unhideWhenUsed/>
    <w:qFormat/>
    <w:rsid w:val="001625B2"/>
    <w:pPr>
      <w:keepNext/>
      <w:keepLines/>
      <w:outlineLvl w:val="1"/>
    </w:pPr>
    <w:rPr>
      <w:rFonts w:eastAsiaTheme="majorEastAsia" w:cstheme="majorBidi"/>
      <w:b/>
      <w:i/>
      <w:szCs w:val="26"/>
    </w:rPr>
  </w:style>
  <w:style w:type="paragraph" w:styleId="Heading3">
    <w:name w:val="heading 3"/>
    <w:basedOn w:val="Normal"/>
    <w:next w:val="Normal"/>
    <w:link w:val="Heading3Char"/>
    <w:uiPriority w:val="9"/>
    <w:unhideWhenUsed/>
    <w:qFormat/>
    <w:rsid w:val="003B12FD"/>
    <w:pPr>
      <w:keepNext/>
      <w:keepLines/>
      <w:spacing w:before="40"/>
      <w:outlineLvl w:val="2"/>
    </w:pPr>
    <w:rPr>
      <w:rFonts w:asciiTheme="majorHAnsi" w:eastAsiaTheme="majorEastAsia" w:hAnsiTheme="majorHAnsi" w:cstheme="majorBidi"/>
      <w:color w:val="0A2F40" w:themeColor="accent1" w:themeShade="7F"/>
    </w:rPr>
  </w:style>
  <w:style w:type="paragraph" w:styleId="Heading4">
    <w:name w:val="heading 4"/>
    <w:basedOn w:val="Normal"/>
    <w:next w:val="Normal"/>
    <w:link w:val="Heading4Char"/>
    <w:uiPriority w:val="9"/>
    <w:semiHidden/>
    <w:unhideWhenUsed/>
    <w:qFormat/>
    <w:rsid w:val="00C60DF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60DF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60DF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60DF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60DF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60DF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1625B2"/>
    <w:pPr>
      <w:spacing w:after="0" w:line="240" w:lineRule="auto"/>
    </w:pPr>
    <w:rPr>
      <w:rFonts w:ascii="Arial" w:hAnsi="Arial"/>
    </w:rPr>
  </w:style>
  <w:style w:type="character" w:customStyle="1" w:styleId="Heading1Char">
    <w:name w:val="Heading 1 Char"/>
    <w:aliases w:val="Heading Bold Char"/>
    <w:basedOn w:val="DefaultParagraphFont"/>
    <w:link w:val="Heading1"/>
    <w:uiPriority w:val="9"/>
    <w:rsid w:val="001625B2"/>
    <w:rPr>
      <w:rFonts w:ascii="Arial" w:eastAsiaTheme="majorEastAsia" w:hAnsi="Arial" w:cstheme="majorBidi"/>
      <w:b/>
      <w:szCs w:val="32"/>
    </w:rPr>
  </w:style>
  <w:style w:type="character" w:customStyle="1" w:styleId="Heading2Char">
    <w:name w:val="Heading 2 Char"/>
    <w:aliases w:val="Italics Char"/>
    <w:basedOn w:val="DefaultParagraphFont"/>
    <w:link w:val="Heading2"/>
    <w:uiPriority w:val="9"/>
    <w:rsid w:val="001625B2"/>
    <w:rPr>
      <w:rFonts w:ascii="Arial" w:eastAsiaTheme="majorEastAsia" w:hAnsi="Arial" w:cstheme="majorBidi"/>
      <w:b/>
      <w:i/>
      <w:szCs w:val="26"/>
    </w:rPr>
  </w:style>
  <w:style w:type="paragraph" w:customStyle="1" w:styleId="Bullet">
    <w:name w:val="Bullet"/>
    <w:basedOn w:val="Normal"/>
    <w:qFormat/>
    <w:rsid w:val="003B12FD"/>
    <w:pPr>
      <w:numPr>
        <w:numId w:val="4"/>
      </w:numPr>
      <w:ind w:left="714" w:hanging="357"/>
    </w:pPr>
  </w:style>
  <w:style w:type="character" w:customStyle="1" w:styleId="Heading3Char">
    <w:name w:val="Heading 3 Char"/>
    <w:basedOn w:val="DefaultParagraphFont"/>
    <w:link w:val="Heading3"/>
    <w:uiPriority w:val="9"/>
    <w:rsid w:val="003B12FD"/>
    <w:rPr>
      <w:rFonts w:asciiTheme="majorHAnsi" w:eastAsiaTheme="majorEastAsia" w:hAnsiTheme="majorHAnsi" w:cstheme="majorBidi"/>
      <w:color w:val="0A2F40" w:themeColor="accent1" w:themeShade="7F"/>
    </w:rPr>
  </w:style>
  <w:style w:type="paragraph" w:styleId="ListParagraph">
    <w:name w:val="List Paragraph"/>
    <w:basedOn w:val="Normal"/>
    <w:uiPriority w:val="34"/>
    <w:qFormat/>
    <w:rsid w:val="00C00F9E"/>
    <w:pPr>
      <w:ind w:left="720"/>
      <w:contextualSpacing/>
    </w:pPr>
  </w:style>
  <w:style w:type="numbering" w:customStyle="1" w:styleId="Numbered">
    <w:name w:val="Numbered"/>
    <w:uiPriority w:val="99"/>
    <w:rsid w:val="003B12FD"/>
    <w:pPr>
      <w:numPr>
        <w:numId w:val="6"/>
      </w:numPr>
    </w:pPr>
  </w:style>
  <w:style w:type="character" w:customStyle="1" w:styleId="Heading4Char">
    <w:name w:val="Heading 4 Char"/>
    <w:basedOn w:val="DefaultParagraphFont"/>
    <w:link w:val="Heading4"/>
    <w:uiPriority w:val="9"/>
    <w:semiHidden/>
    <w:rsid w:val="00C60D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0D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0D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0D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0D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0DFF"/>
    <w:rPr>
      <w:rFonts w:eastAsiaTheme="majorEastAsia" w:cstheme="majorBidi"/>
      <w:color w:val="272727" w:themeColor="text1" w:themeTint="D8"/>
    </w:rPr>
  </w:style>
  <w:style w:type="paragraph" w:styleId="Title">
    <w:name w:val="Title"/>
    <w:basedOn w:val="Normal"/>
    <w:next w:val="Normal"/>
    <w:link w:val="TitleChar"/>
    <w:uiPriority w:val="10"/>
    <w:qFormat/>
    <w:rsid w:val="00C60D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0D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0DF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0D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0DF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60DFF"/>
    <w:rPr>
      <w:rFonts w:ascii="Arial" w:hAnsi="Arial"/>
      <w:i/>
      <w:iCs/>
      <w:color w:val="404040" w:themeColor="text1" w:themeTint="BF"/>
    </w:rPr>
  </w:style>
  <w:style w:type="character" w:styleId="IntenseEmphasis">
    <w:name w:val="Intense Emphasis"/>
    <w:basedOn w:val="DefaultParagraphFont"/>
    <w:uiPriority w:val="21"/>
    <w:qFormat/>
    <w:rsid w:val="00C60DFF"/>
    <w:rPr>
      <w:i/>
      <w:iCs/>
      <w:color w:val="0F4761" w:themeColor="accent1" w:themeShade="BF"/>
    </w:rPr>
  </w:style>
  <w:style w:type="paragraph" w:styleId="IntenseQuote">
    <w:name w:val="Intense Quote"/>
    <w:basedOn w:val="Normal"/>
    <w:next w:val="Normal"/>
    <w:link w:val="IntenseQuoteChar"/>
    <w:uiPriority w:val="30"/>
    <w:qFormat/>
    <w:rsid w:val="00C60D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0DFF"/>
    <w:rPr>
      <w:rFonts w:ascii="Arial" w:hAnsi="Arial"/>
      <w:i/>
      <w:iCs/>
      <w:color w:val="0F4761" w:themeColor="accent1" w:themeShade="BF"/>
    </w:rPr>
  </w:style>
  <w:style w:type="character" w:styleId="IntenseReference">
    <w:name w:val="Intense Reference"/>
    <w:basedOn w:val="DefaultParagraphFont"/>
    <w:uiPriority w:val="32"/>
    <w:qFormat/>
    <w:rsid w:val="00C60DFF"/>
    <w:rPr>
      <w:b/>
      <w:bCs/>
      <w:smallCaps/>
      <w:color w:val="0F4761" w:themeColor="accent1" w:themeShade="BF"/>
      <w:spacing w:val="5"/>
    </w:rPr>
  </w:style>
  <w:style w:type="table" w:styleId="TableGrid">
    <w:name w:val="Table Grid"/>
    <w:basedOn w:val="TableNormal"/>
    <w:uiPriority w:val="39"/>
    <w:rsid w:val="00C60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0DFF"/>
    <w:pPr>
      <w:tabs>
        <w:tab w:val="center" w:pos="4513"/>
        <w:tab w:val="right" w:pos="9026"/>
      </w:tabs>
    </w:pPr>
  </w:style>
  <w:style w:type="character" w:customStyle="1" w:styleId="HeaderChar">
    <w:name w:val="Header Char"/>
    <w:basedOn w:val="DefaultParagraphFont"/>
    <w:link w:val="Header"/>
    <w:uiPriority w:val="99"/>
    <w:rsid w:val="00C60DFF"/>
    <w:rPr>
      <w:rFonts w:ascii="Arial" w:hAnsi="Arial"/>
    </w:rPr>
  </w:style>
  <w:style w:type="paragraph" w:styleId="Footer">
    <w:name w:val="footer"/>
    <w:basedOn w:val="Normal"/>
    <w:link w:val="FooterChar"/>
    <w:uiPriority w:val="99"/>
    <w:unhideWhenUsed/>
    <w:rsid w:val="00C60DFF"/>
    <w:pPr>
      <w:tabs>
        <w:tab w:val="center" w:pos="4513"/>
        <w:tab w:val="right" w:pos="9026"/>
      </w:tabs>
    </w:pPr>
  </w:style>
  <w:style w:type="character" w:customStyle="1" w:styleId="FooterChar">
    <w:name w:val="Footer Char"/>
    <w:basedOn w:val="DefaultParagraphFont"/>
    <w:link w:val="Footer"/>
    <w:uiPriority w:val="99"/>
    <w:rsid w:val="00C60DFF"/>
    <w:rPr>
      <w:rFonts w:ascii="Arial" w:hAnsi="Arial"/>
    </w:rPr>
  </w:style>
  <w:style w:type="paragraph" w:styleId="Revision">
    <w:name w:val="Revision"/>
    <w:hidden/>
    <w:uiPriority w:val="99"/>
    <w:semiHidden/>
    <w:rsid w:val="00976746"/>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dae25aa-ef91-4429-b225-6961df045b64" xsi:nil="true"/>
    <lcf76f155ced4ddcb4097134ff3c332f xmlns="5aa47500-f024-480c-b54a-37558367a81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A418B6959843C4CA2A165C8ECFF5D80" ma:contentTypeVersion="11" ma:contentTypeDescription="Create a new document." ma:contentTypeScope="" ma:versionID="02e9ad30c04c4b633544d2b2bbbe4763">
  <xsd:schema xmlns:xsd="http://www.w3.org/2001/XMLSchema" xmlns:xs="http://www.w3.org/2001/XMLSchema" xmlns:p="http://schemas.microsoft.com/office/2006/metadata/properties" xmlns:ns2="5aa47500-f024-480c-b54a-37558367a81a" xmlns:ns3="6dae25aa-ef91-4429-b225-6961df045b64" targetNamespace="http://schemas.microsoft.com/office/2006/metadata/properties" ma:root="true" ma:fieldsID="786f084d761d05ca800854a6c78823b4" ns2:_="" ns3:_="">
    <xsd:import namespace="5aa47500-f024-480c-b54a-37558367a81a"/>
    <xsd:import namespace="6dae25aa-ef91-4429-b225-6961df045b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a47500-f024-480c-b54a-37558367a8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ae25aa-ef91-4429-b225-6961df045b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f77a7b-3116-4638-9a90-9c8e6e24cae5}" ma:internalName="TaxCatchAll" ma:showField="CatchAllData" ma:web="6dae25aa-ef91-4429-b225-6961df045b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62D75B-2412-4940-90D4-7EBC7D44B255}">
  <ds:schemaRefs>
    <ds:schemaRef ds:uri="http://schemas.microsoft.com/office/infopath/2007/PartnerControls"/>
    <ds:schemaRef ds:uri="http://purl.org/dc/dcmitype/"/>
    <ds:schemaRef ds:uri="http://purl.org/dc/terms/"/>
    <ds:schemaRef ds:uri="http://schemas.microsoft.com/office/2006/documentManagement/types"/>
    <ds:schemaRef ds:uri="http://schemas.openxmlformats.org/package/2006/metadata/core-properties"/>
    <ds:schemaRef ds:uri="http://www.w3.org/XML/1998/namespace"/>
    <ds:schemaRef ds:uri="http://schemas.microsoft.com/office/2006/metadata/properties"/>
    <ds:schemaRef ds:uri="6dae25aa-ef91-4429-b225-6961df045b64"/>
    <ds:schemaRef ds:uri="5aa47500-f024-480c-b54a-37558367a81a"/>
    <ds:schemaRef ds:uri="http://purl.org/dc/elements/1.1/"/>
  </ds:schemaRefs>
</ds:datastoreItem>
</file>

<file path=customXml/itemProps2.xml><?xml version="1.0" encoding="utf-8"?>
<ds:datastoreItem xmlns:ds="http://schemas.openxmlformats.org/officeDocument/2006/customXml" ds:itemID="{8A9120DE-1D51-4CD3-9AD6-92340D896EDC}">
  <ds:schemaRefs>
    <ds:schemaRef ds:uri="http://schemas.openxmlformats.org/officeDocument/2006/bibliography"/>
  </ds:schemaRefs>
</ds:datastoreItem>
</file>

<file path=customXml/itemProps3.xml><?xml version="1.0" encoding="utf-8"?>
<ds:datastoreItem xmlns:ds="http://schemas.openxmlformats.org/officeDocument/2006/customXml" ds:itemID="{E010427B-1307-4A4C-80D2-FFE4955EE559}">
  <ds:schemaRefs>
    <ds:schemaRef ds:uri="http://schemas.microsoft.com/sharepoint/v3/contenttype/forms"/>
  </ds:schemaRefs>
</ds:datastoreItem>
</file>

<file path=customXml/itemProps4.xml><?xml version="1.0" encoding="utf-8"?>
<ds:datastoreItem xmlns:ds="http://schemas.openxmlformats.org/officeDocument/2006/customXml" ds:itemID="{F1FF7943-3094-4561-9B91-24F8AF2859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a47500-f024-480c-b54a-37558367a81a"/>
    <ds:schemaRef ds:uri="6dae25aa-ef91-4429-b225-6961df045b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1311</Words>
  <Characters>7948</Characters>
  <Application>Microsoft Office Word</Application>
  <DocSecurity>0</DocSecurity>
  <Lines>258</Lines>
  <Paragraphs>109</Paragraphs>
  <ScaleCrop>false</ScaleCrop>
  <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Turnbull</dc:creator>
  <cp:keywords/>
  <dc:description/>
  <cp:lastModifiedBy>Karen Algie</cp:lastModifiedBy>
  <cp:revision>20</cp:revision>
  <dcterms:created xsi:type="dcterms:W3CDTF">2026-02-16T23:20:00Z</dcterms:created>
  <dcterms:modified xsi:type="dcterms:W3CDTF">2026-04-15T17:46:00Z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0x0101007A418B6959843C4CA2A165C8ECFF5D80</vt:lpwstr>
  </property>
  <property fmtid="{D5CDD505-2E9C-101B-9397-08002B2CF9AE}" pid="3" name="MediaServiceImageTags">
    <vt:lpwstr/>
  </property>
  <property fmtid="{D5CDD505-2E9C-101B-9397-08002B2CF9AE}" pid="4" name="docLang">
    <vt:lpwstr>en</vt:lpwstr>
  </property>
</Properties>
</file>