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DD1B" w14:textId="0BC669F6" w:rsidR="005D2706" w:rsidRDefault="008602A2" w:rsidP="001429CE">
      <w:pPr>
        <w:jc w:val="center"/>
      </w:pPr>
      <w:r>
        <w:rPr>
          <w:b/>
          <w:sz w:val="40"/>
          <w:szCs w:val="40"/>
        </w:rPr>
        <w:t xml:space="preserve">    </w:t>
      </w:r>
      <w:r w:rsidR="00D57AC9">
        <w:rPr>
          <w:b/>
          <w:sz w:val="40"/>
          <w:szCs w:val="40"/>
        </w:rPr>
        <w:t>Kinship Care Allowance</w:t>
      </w:r>
    </w:p>
    <w:p w14:paraId="6399159F" w14:textId="77777777" w:rsidR="00D57AC9" w:rsidRDefault="00D57AC9" w:rsidP="005D27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4"/>
        <w:gridCol w:w="3007"/>
      </w:tblGrid>
      <w:tr w:rsidR="00D57AC9" w14:paraId="79493A3A" w14:textId="77777777" w:rsidTr="00D57AC9">
        <w:tc>
          <w:tcPr>
            <w:tcW w:w="3080" w:type="dxa"/>
          </w:tcPr>
          <w:p w14:paraId="02DF532D" w14:textId="77777777" w:rsidR="00D57AC9" w:rsidRPr="001429CE" w:rsidRDefault="00D57AC9" w:rsidP="00D57AC9">
            <w:pPr>
              <w:rPr>
                <w:b/>
                <w:sz w:val="28"/>
                <w:szCs w:val="28"/>
              </w:rPr>
            </w:pPr>
            <w:bookmarkStart w:id="0" w:name="_Hlk164239581"/>
            <w:r w:rsidRPr="001429CE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3081" w:type="dxa"/>
            <w:vAlign w:val="center"/>
          </w:tcPr>
          <w:p w14:paraId="4C8693BA" w14:textId="77777777" w:rsidR="006411E7" w:rsidRPr="001429CE" w:rsidRDefault="00D57AC9" w:rsidP="006411E7">
            <w:pPr>
              <w:jc w:val="center"/>
              <w:rPr>
                <w:b/>
                <w:sz w:val="28"/>
                <w:szCs w:val="28"/>
              </w:rPr>
            </w:pPr>
            <w:r w:rsidRPr="001429CE">
              <w:rPr>
                <w:b/>
                <w:sz w:val="28"/>
                <w:szCs w:val="28"/>
              </w:rPr>
              <w:t xml:space="preserve">Weekly Allowance </w:t>
            </w:r>
          </w:p>
          <w:p w14:paraId="61DE311E" w14:textId="77777777" w:rsidR="00D57AC9" w:rsidRPr="001429CE" w:rsidRDefault="00D57AC9" w:rsidP="00D57A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240F47FB" w14:textId="77777777" w:rsidR="00D57AC9" w:rsidRPr="001429CE" w:rsidRDefault="00D57AC9" w:rsidP="005D2706">
            <w:pPr>
              <w:rPr>
                <w:b/>
                <w:sz w:val="28"/>
                <w:szCs w:val="28"/>
              </w:rPr>
            </w:pPr>
            <w:r w:rsidRPr="001429CE">
              <w:rPr>
                <w:b/>
                <w:sz w:val="28"/>
                <w:szCs w:val="28"/>
              </w:rPr>
              <w:t>Fortnightly Payment Run</w:t>
            </w:r>
          </w:p>
        </w:tc>
      </w:tr>
      <w:tr w:rsidR="00D57AC9" w:rsidRPr="00FF1CA4" w14:paraId="1DA8F501" w14:textId="77777777" w:rsidTr="00D57AC9">
        <w:tc>
          <w:tcPr>
            <w:tcW w:w="3080" w:type="dxa"/>
            <w:vAlign w:val="center"/>
          </w:tcPr>
          <w:p w14:paraId="094BBF4E" w14:textId="77777777" w:rsidR="00D57AC9" w:rsidRPr="00FF1CA4" w:rsidRDefault="00D57AC9" w:rsidP="00D57AC9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0 – 4</w:t>
            </w:r>
          </w:p>
        </w:tc>
        <w:tc>
          <w:tcPr>
            <w:tcW w:w="3081" w:type="dxa"/>
            <w:vAlign w:val="center"/>
          </w:tcPr>
          <w:p w14:paraId="39F6CD1B" w14:textId="7590CFFB" w:rsidR="00D57AC9" w:rsidRPr="00FF1CA4" w:rsidRDefault="00E20AA3" w:rsidP="00D57A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0637B3">
              <w:rPr>
                <w:sz w:val="28"/>
                <w:szCs w:val="28"/>
              </w:rPr>
              <w:t>1</w:t>
            </w:r>
            <w:r w:rsidR="00D73111">
              <w:rPr>
                <w:sz w:val="28"/>
                <w:szCs w:val="28"/>
              </w:rPr>
              <w:t>91.13</w:t>
            </w:r>
          </w:p>
        </w:tc>
        <w:tc>
          <w:tcPr>
            <w:tcW w:w="3081" w:type="dxa"/>
          </w:tcPr>
          <w:p w14:paraId="4C27605F" w14:textId="35184173" w:rsidR="00D57AC9" w:rsidRPr="00FF1CA4" w:rsidRDefault="000637B3" w:rsidP="005D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6515E6">
              <w:rPr>
                <w:sz w:val="28"/>
                <w:szCs w:val="28"/>
              </w:rPr>
              <w:t>3</w:t>
            </w:r>
            <w:r w:rsidR="00275551">
              <w:rPr>
                <w:sz w:val="28"/>
                <w:szCs w:val="28"/>
              </w:rPr>
              <w:t>82.26</w:t>
            </w:r>
          </w:p>
        </w:tc>
      </w:tr>
      <w:tr w:rsidR="00D57AC9" w:rsidRPr="00FF1CA4" w14:paraId="43575F67" w14:textId="77777777" w:rsidTr="00D57AC9">
        <w:tc>
          <w:tcPr>
            <w:tcW w:w="3080" w:type="dxa"/>
            <w:vAlign w:val="center"/>
          </w:tcPr>
          <w:p w14:paraId="75CBEEB1" w14:textId="77777777" w:rsidR="00D57AC9" w:rsidRPr="00FF1CA4" w:rsidRDefault="00D57AC9" w:rsidP="00D57AC9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5 – 10</w:t>
            </w:r>
          </w:p>
        </w:tc>
        <w:tc>
          <w:tcPr>
            <w:tcW w:w="3081" w:type="dxa"/>
            <w:vAlign w:val="center"/>
          </w:tcPr>
          <w:p w14:paraId="2B90F982" w14:textId="0D362476" w:rsidR="00D57AC9" w:rsidRPr="00FF1CA4" w:rsidRDefault="00E20AA3" w:rsidP="00D57A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275551">
              <w:rPr>
                <w:sz w:val="28"/>
                <w:szCs w:val="28"/>
              </w:rPr>
              <w:t>222.35</w:t>
            </w:r>
          </w:p>
        </w:tc>
        <w:tc>
          <w:tcPr>
            <w:tcW w:w="3081" w:type="dxa"/>
          </w:tcPr>
          <w:p w14:paraId="73C0B7C8" w14:textId="25AAF906" w:rsidR="00D57AC9" w:rsidRPr="00FF1CA4" w:rsidRDefault="000637B3" w:rsidP="005D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</w:t>
            </w:r>
            <w:r w:rsidR="00275551">
              <w:rPr>
                <w:sz w:val="28"/>
                <w:szCs w:val="28"/>
              </w:rPr>
              <w:t>44.70</w:t>
            </w:r>
          </w:p>
        </w:tc>
      </w:tr>
      <w:tr w:rsidR="00D57AC9" w:rsidRPr="00FF1CA4" w14:paraId="48EA5DFA" w14:textId="77777777" w:rsidTr="00D57AC9">
        <w:tc>
          <w:tcPr>
            <w:tcW w:w="3080" w:type="dxa"/>
            <w:vAlign w:val="center"/>
          </w:tcPr>
          <w:p w14:paraId="09F3D40E" w14:textId="77777777" w:rsidR="00D57AC9" w:rsidRPr="00FF1CA4" w:rsidRDefault="00D57AC9" w:rsidP="00D57AC9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11 – 15</w:t>
            </w:r>
          </w:p>
        </w:tc>
        <w:tc>
          <w:tcPr>
            <w:tcW w:w="3081" w:type="dxa"/>
            <w:vAlign w:val="center"/>
          </w:tcPr>
          <w:p w14:paraId="6A1AC432" w14:textId="175DAFB3" w:rsidR="00D57AC9" w:rsidRPr="00FF1CA4" w:rsidRDefault="00D57AC9" w:rsidP="00D57AC9">
            <w:pPr>
              <w:jc w:val="center"/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£</w:t>
            </w:r>
            <w:r w:rsidR="00275551">
              <w:rPr>
                <w:sz w:val="28"/>
                <w:szCs w:val="28"/>
              </w:rPr>
              <w:t>304.79</w:t>
            </w:r>
          </w:p>
        </w:tc>
        <w:tc>
          <w:tcPr>
            <w:tcW w:w="3081" w:type="dxa"/>
          </w:tcPr>
          <w:p w14:paraId="1FE5AB53" w14:textId="41761902" w:rsidR="00D57AC9" w:rsidRPr="00FF1CA4" w:rsidRDefault="000637B3" w:rsidP="005D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E97900">
              <w:rPr>
                <w:sz w:val="28"/>
                <w:szCs w:val="28"/>
              </w:rPr>
              <w:t>609.58</w:t>
            </w:r>
          </w:p>
        </w:tc>
      </w:tr>
      <w:tr w:rsidR="00D57AC9" w:rsidRPr="00FF1CA4" w14:paraId="4B6544E8" w14:textId="77777777" w:rsidTr="00D57AC9">
        <w:tc>
          <w:tcPr>
            <w:tcW w:w="3080" w:type="dxa"/>
            <w:vAlign w:val="center"/>
          </w:tcPr>
          <w:p w14:paraId="75565358" w14:textId="1C8929FB" w:rsidR="00C07A08" w:rsidRDefault="00857505" w:rsidP="00D57AC9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16-18</w:t>
            </w:r>
            <w:r w:rsidR="009A7048">
              <w:rPr>
                <w:sz w:val="28"/>
                <w:szCs w:val="28"/>
              </w:rPr>
              <w:t xml:space="preserve"> </w:t>
            </w:r>
            <w:r w:rsidR="00C07A08">
              <w:rPr>
                <w:sz w:val="28"/>
                <w:szCs w:val="28"/>
              </w:rPr>
              <w:t>–</w:t>
            </w:r>
            <w:r w:rsidR="009A7048">
              <w:rPr>
                <w:sz w:val="28"/>
                <w:szCs w:val="28"/>
              </w:rPr>
              <w:t xml:space="preserve"> </w:t>
            </w:r>
          </w:p>
          <w:p w14:paraId="36E17EF4" w14:textId="77777777" w:rsidR="00C07A08" w:rsidRDefault="009A7048" w:rsidP="00D57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for Looked After and </w:t>
            </w:r>
          </w:p>
          <w:p w14:paraId="62241CF4" w14:textId="5EFCCE57" w:rsidR="00D57AC9" w:rsidRPr="00FF1CA4" w:rsidRDefault="009A7048" w:rsidP="00D57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YP on </w:t>
            </w:r>
            <w:r w:rsidR="00C07A08"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KCO </w:t>
            </w:r>
            <w:r w:rsidR="00C07A08">
              <w:rPr>
                <w:sz w:val="28"/>
                <w:szCs w:val="28"/>
              </w:rPr>
              <w:t xml:space="preserve">if </w:t>
            </w:r>
            <w:r>
              <w:rPr>
                <w:sz w:val="28"/>
                <w:szCs w:val="28"/>
              </w:rPr>
              <w:t>remaining</w:t>
            </w:r>
            <w:r w:rsidR="00C07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 school)</w:t>
            </w:r>
          </w:p>
        </w:tc>
        <w:tc>
          <w:tcPr>
            <w:tcW w:w="3081" w:type="dxa"/>
            <w:vAlign w:val="center"/>
          </w:tcPr>
          <w:p w14:paraId="1E77B461" w14:textId="125FA2CB" w:rsidR="00D57AC9" w:rsidRPr="00FF1CA4" w:rsidRDefault="00D57AC9" w:rsidP="00D57AC9">
            <w:pPr>
              <w:jc w:val="center"/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£</w:t>
            </w:r>
            <w:r w:rsidR="00C07A08">
              <w:rPr>
                <w:sz w:val="28"/>
                <w:szCs w:val="28"/>
              </w:rPr>
              <w:t>304.79</w:t>
            </w:r>
          </w:p>
          <w:p w14:paraId="714FAAC0" w14:textId="52EADC8E" w:rsidR="00D57AC9" w:rsidRPr="00FF1CA4" w:rsidRDefault="00D57AC9" w:rsidP="00D57AC9">
            <w:pPr>
              <w:jc w:val="center"/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(</w:t>
            </w:r>
            <w:r w:rsidR="00E20AA3">
              <w:rPr>
                <w:sz w:val="28"/>
                <w:szCs w:val="28"/>
              </w:rPr>
              <w:t>Finance deduct an amount if YP is working</w:t>
            </w:r>
            <w:r w:rsidRPr="00FF1CA4">
              <w:rPr>
                <w:sz w:val="28"/>
                <w:szCs w:val="28"/>
              </w:rPr>
              <w:t>)</w:t>
            </w:r>
          </w:p>
        </w:tc>
        <w:tc>
          <w:tcPr>
            <w:tcW w:w="3081" w:type="dxa"/>
          </w:tcPr>
          <w:p w14:paraId="3A4BC83A" w14:textId="77777777" w:rsidR="00C07A08" w:rsidRDefault="00C07A08" w:rsidP="005D2706">
            <w:pPr>
              <w:rPr>
                <w:sz w:val="28"/>
                <w:szCs w:val="28"/>
              </w:rPr>
            </w:pPr>
          </w:p>
          <w:p w14:paraId="18568CD3" w14:textId="2384D77E" w:rsidR="00D57AC9" w:rsidRPr="00FF1CA4" w:rsidRDefault="000637B3" w:rsidP="005D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C07A08">
              <w:rPr>
                <w:sz w:val="28"/>
                <w:szCs w:val="28"/>
              </w:rPr>
              <w:t>609.58</w:t>
            </w:r>
          </w:p>
        </w:tc>
      </w:tr>
      <w:tr w:rsidR="00857505" w:rsidRPr="00FF1CA4" w14:paraId="29F8886D" w14:textId="77777777" w:rsidTr="00D57AC9">
        <w:tc>
          <w:tcPr>
            <w:tcW w:w="3080" w:type="dxa"/>
            <w:vAlign w:val="center"/>
          </w:tcPr>
          <w:p w14:paraId="14258C24" w14:textId="77777777" w:rsidR="00C07A08" w:rsidRDefault="00857505" w:rsidP="00D57AC9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 xml:space="preserve">18 – 21 </w:t>
            </w:r>
            <w:r w:rsidR="009A7048">
              <w:rPr>
                <w:sz w:val="28"/>
                <w:szCs w:val="28"/>
              </w:rPr>
              <w:t>Continuing Care</w:t>
            </w:r>
            <w:r w:rsidR="007576CD">
              <w:rPr>
                <w:sz w:val="28"/>
                <w:szCs w:val="28"/>
              </w:rPr>
              <w:t xml:space="preserve"> payment </w:t>
            </w:r>
          </w:p>
          <w:p w14:paraId="07115259" w14:textId="479E4FCB" w:rsidR="00857505" w:rsidRPr="00FF1CA4" w:rsidRDefault="00C07A08" w:rsidP="00D57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7576CD">
              <w:rPr>
                <w:sz w:val="28"/>
                <w:szCs w:val="28"/>
              </w:rPr>
              <w:t>aid earlier if YP opts into CC earlier</w:t>
            </w:r>
          </w:p>
        </w:tc>
        <w:tc>
          <w:tcPr>
            <w:tcW w:w="3081" w:type="dxa"/>
            <w:vAlign w:val="center"/>
          </w:tcPr>
          <w:p w14:paraId="3E90E08C" w14:textId="33028BC9" w:rsidR="00857505" w:rsidRPr="00FF1CA4" w:rsidRDefault="00857505" w:rsidP="00D57AC9">
            <w:pPr>
              <w:jc w:val="center"/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£</w:t>
            </w:r>
            <w:r w:rsidR="00620A58">
              <w:rPr>
                <w:sz w:val="28"/>
                <w:szCs w:val="28"/>
              </w:rPr>
              <w:t>119.24</w:t>
            </w:r>
            <w:r w:rsidRPr="00FF1CA4">
              <w:rPr>
                <w:sz w:val="28"/>
                <w:szCs w:val="28"/>
              </w:rPr>
              <w:t xml:space="preserve"> flat fee</w:t>
            </w:r>
          </w:p>
          <w:p w14:paraId="570327E2" w14:textId="77777777" w:rsidR="00857505" w:rsidRPr="00FF1CA4" w:rsidRDefault="00857505" w:rsidP="00D57AC9">
            <w:pPr>
              <w:jc w:val="center"/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(nothing deducted)</w:t>
            </w:r>
          </w:p>
        </w:tc>
        <w:tc>
          <w:tcPr>
            <w:tcW w:w="3081" w:type="dxa"/>
          </w:tcPr>
          <w:p w14:paraId="7944321D" w14:textId="77777777" w:rsidR="00620A58" w:rsidRDefault="00620A58" w:rsidP="005D2706">
            <w:pPr>
              <w:rPr>
                <w:sz w:val="28"/>
                <w:szCs w:val="28"/>
              </w:rPr>
            </w:pPr>
          </w:p>
          <w:p w14:paraId="2CC5591D" w14:textId="1C5DD045" w:rsidR="001429CE" w:rsidRPr="00FF1CA4" w:rsidRDefault="000637B3" w:rsidP="005D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620A58">
              <w:rPr>
                <w:sz w:val="28"/>
                <w:szCs w:val="28"/>
              </w:rPr>
              <w:t>38.48</w:t>
            </w:r>
          </w:p>
        </w:tc>
      </w:tr>
    </w:tbl>
    <w:p w14:paraId="3E967DBD" w14:textId="09E94CE3" w:rsidR="00D57AC9" w:rsidRDefault="00D57AC9" w:rsidP="005D2706"/>
    <w:p w14:paraId="1AB23A90" w14:textId="77777777" w:rsidR="008B6D4E" w:rsidRDefault="008B6D4E" w:rsidP="005D27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2978"/>
        <w:gridCol w:w="3038"/>
      </w:tblGrid>
      <w:tr w:rsidR="00377BA5" w:rsidRPr="001429CE" w14:paraId="14B37193" w14:textId="77777777" w:rsidTr="00D57AC9">
        <w:tc>
          <w:tcPr>
            <w:tcW w:w="3080" w:type="dxa"/>
          </w:tcPr>
          <w:p w14:paraId="268968A5" w14:textId="77777777" w:rsidR="00C42150" w:rsidRDefault="00D57AC9" w:rsidP="005D2706">
            <w:pPr>
              <w:rPr>
                <w:b/>
                <w:sz w:val="28"/>
                <w:szCs w:val="28"/>
              </w:rPr>
            </w:pPr>
            <w:r w:rsidRPr="001429CE">
              <w:rPr>
                <w:b/>
                <w:sz w:val="28"/>
                <w:szCs w:val="28"/>
              </w:rPr>
              <w:t>Child Benefit</w:t>
            </w:r>
            <w:r w:rsidR="001429CE" w:rsidRPr="001429CE">
              <w:rPr>
                <w:b/>
                <w:sz w:val="28"/>
                <w:szCs w:val="28"/>
              </w:rPr>
              <w:t xml:space="preserve"> </w:t>
            </w:r>
          </w:p>
          <w:p w14:paraId="20CBCC11" w14:textId="77777777" w:rsidR="00245909" w:rsidRDefault="00083DED" w:rsidP="005D2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from </w:t>
            </w:r>
            <w:r w:rsidR="00C42150">
              <w:rPr>
                <w:b/>
                <w:sz w:val="28"/>
                <w:szCs w:val="28"/>
              </w:rPr>
              <w:t>6</w:t>
            </w:r>
            <w:r w:rsidR="00C42150" w:rsidRPr="00C42150">
              <w:rPr>
                <w:b/>
                <w:sz w:val="28"/>
                <w:szCs w:val="28"/>
                <w:vertAlign w:val="superscript"/>
              </w:rPr>
              <w:t>th</w:t>
            </w:r>
            <w:r w:rsidR="00C42150">
              <w:rPr>
                <w:b/>
                <w:sz w:val="28"/>
                <w:szCs w:val="28"/>
              </w:rPr>
              <w:t xml:space="preserve"> April 2026</w:t>
            </w:r>
          </w:p>
          <w:p w14:paraId="5CB4683C" w14:textId="5291DC99" w:rsidR="00D57AC9" w:rsidRDefault="00145B87" w:rsidP="005D27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="00E20AA3">
              <w:rPr>
                <w:bCs/>
                <w:sz w:val="28"/>
                <w:szCs w:val="28"/>
              </w:rPr>
              <w:t>utomatically changed by Finance</w:t>
            </w:r>
          </w:p>
          <w:p w14:paraId="2E6281B8" w14:textId="6D62B552" w:rsidR="00145B87" w:rsidRPr="00E20AA3" w:rsidRDefault="00145B87" w:rsidP="005D27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(Two child limit now removed)</w:t>
            </w:r>
          </w:p>
        </w:tc>
        <w:tc>
          <w:tcPr>
            <w:tcW w:w="3081" w:type="dxa"/>
          </w:tcPr>
          <w:p w14:paraId="14174351" w14:textId="77777777" w:rsidR="00D57AC9" w:rsidRPr="001429CE" w:rsidRDefault="00D57AC9" w:rsidP="005D2706">
            <w:pPr>
              <w:rPr>
                <w:sz w:val="28"/>
                <w:szCs w:val="28"/>
              </w:rPr>
            </w:pPr>
            <w:r w:rsidRPr="001429CE">
              <w:rPr>
                <w:sz w:val="28"/>
                <w:szCs w:val="28"/>
              </w:rPr>
              <w:t>Per week</w:t>
            </w:r>
          </w:p>
        </w:tc>
        <w:tc>
          <w:tcPr>
            <w:tcW w:w="3081" w:type="dxa"/>
          </w:tcPr>
          <w:p w14:paraId="5B7E3B3D" w14:textId="47557CAA" w:rsidR="00D57AC9" w:rsidRPr="001429CE" w:rsidRDefault="00D57AC9" w:rsidP="005D2706">
            <w:pPr>
              <w:rPr>
                <w:sz w:val="28"/>
                <w:szCs w:val="28"/>
              </w:rPr>
            </w:pPr>
            <w:r w:rsidRPr="001429CE">
              <w:rPr>
                <w:sz w:val="28"/>
                <w:szCs w:val="28"/>
              </w:rPr>
              <w:t>4 weekly</w:t>
            </w:r>
            <w:r w:rsidR="00296C7F">
              <w:rPr>
                <w:sz w:val="28"/>
                <w:szCs w:val="28"/>
              </w:rPr>
              <w:t>/Yearly</w:t>
            </w:r>
          </w:p>
        </w:tc>
      </w:tr>
      <w:tr w:rsidR="00377BA5" w:rsidRPr="00FF1CA4" w14:paraId="6BFE9D34" w14:textId="77777777" w:rsidTr="00D57AC9">
        <w:tc>
          <w:tcPr>
            <w:tcW w:w="3080" w:type="dxa"/>
          </w:tcPr>
          <w:p w14:paraId="4318C2C8" w14:textId="77777777" w:rsidR="00D57AC9" w:rsidRPr="00FF1CA4" w:rsidRDefault="00D57AC9" w:rsidP="005D2706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1</w:t>
            </w:r>
            <w:r w:rsidRPr="00FF1CA4">
              <w:rPr>
                <w:sz w:val="28"/>
                <w:szCs w:val="28"/>
                <w:vertAlign w:val="superscript"/>
              </w:rPr>
              <w:t>st</w:t>
            </w:r>
            <w:r w:rsidRPr="00FF1CA4">
              <w:rPr>
                <w:sz w:val="28"/>
                <w:szCs w:val="28"/>
              </w:rPr>
              <w:t xml:space="preserve"> child</w:t>
            </w:r>
          </w:p>
        </w:tc>
        <w:tc>
          <w:tcPr>
            <w:tcW w:w="3081" w:type="dxa"/>
          </w:tcPr>
          <w:p w14:paraId="27F55D35" w14:textId="3878B8CD" w:rsidR="00D57AC9" w:rsidRPr="00FF1CA4" w:rsidRDefault="00D57AC9" w:rsidP="005D2706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£</w:t>
            </w:r>
            <w:r w:rsidR="008B6D4E">
              <w:rPr>
                <w:sz w:val="28"/>
                <w:szCs w:val="28"/>
              </w:rPr>
              <w:t>2</w:t>
            </w:r>
            <w:r w:rsidR="00296C7F">
              <w:rPr>
                <w:sz w:val="28"/>
                <w:szCs w:val="28"/>
              </w:rPr>
              <w:t>7.05</w:t>
            </w:r>
          </w:p>
        </w:tc>
        <w:tc>
          <w:tcPr>
            <w:tcW w:w="3081" w:type="dxa"/>
          </w:tcPr>
          <w:p w14:paraId="0B0578F9" w14:textId="035977E0" w:rsidR="00D57AC9" w:rsidRPr="00FF1CA4" w:rsidRDefault="006C5DC8" w:rsidP="005D2706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£</w:t>
            </w:r>
            <w:r w:rsidR="00FE12B6">
              <w:rPr>
                <w:sz w:val="28"/>
                <w:szCs w:val="28"/>
              </w:rPr>
              <w:t>10</w:t>
            </w:r>
            <w:r w:rsidR="00296C7F">
              <w:rPr>
                <w:sz w:val="28"/>
                <w:szCs w:val="28"/>
              </w:rPr>
              <w:t>8</w:t>
            </w:r>
            <w:r w:rsidR="002E2251">
              <w:rPr>
                <w:sz w:val="28"/>
                <w:szCs w:val="28"/>
              </w:rPr>
              <w:t>.20</w:t>
            </w:r>
            <w:r w:rsidR="00296C7F">
              <w:rPr>
                <w:sz w:val="28"/>
                <w:szCs w:val="28"/>
              </w:rPr>
              <w:t>/£</w:t>
            </w:r>
            <w:r w:rsidR="00B921AC">
              <w:rPr>
                <w:sz w:val="28"/>
                <w:szCs w:val="28"/>
              </w:rPr>
              <w:t>1406.60</w:t>
            </w:r>
          </w:p>
        </w:tc>
      </w:tr>
      <w:tr w:rsidR="00377BA5" w:rsidRPr="00FF1CA4" w14:paraId="78437D21" w14:textId="77777777" w:rsidTr="00D57AC9">
        <w:tc>
          <w:tcPr>
            <w:tcW w:w="3080" w:type="dxa"/>
          </w:tcPr>
          <w:p w14:paraId="21E1CF4D" w14:textId="7F2FE999" w:rsidR="00D57AC9" w:rsidRPr="00FF1CA4" w:rsidRDefault="00D57AC9" w:rsidP="005D2706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2</w:t>
            </w:r>
            <w:r w:rsidRPr="00FF1CA4">
              <w:rPr>
                <w:sz w:val="28"/>
                <w:szCs w:val="28"/>
                <w:vertAlign w:val="superscript"/>
              </w:rPr>
              <w:t>nd</w:t>
            </w:r>
            <w:r w:rsidRPr="00FF1CA4">
              <w:rPr>
                <w:sz w:val="28"/>
                <w:szCs w:val="28"/>
              </w:rPr>
              <w:t xml:space="preserve"> child</w:t>
            </w:r>
            <w:r w:rsidR="001429CE" w:rsidRPr="00FF1CA4">
              <w:rPr>
                <w:sz w:val="28"/>
                <w:szCs w:val="28"/>
              </w:rPr>
              <w:t xml:space="preserve"> +</w:t>
            </w:r>
          </w:p>
        </w:tc>
        <w:tc>
          <w:tcPr>
            <w:tcW w:w="3081" w:type="dxa"/>
          </w:tcPr>
          <w:p w14:paraId="6EDA76BD" w14:textId="19EF93BA" w:rsidR="00D57AC9" w:rsidRPr="00FF1CA4" w:rsidRDefault="00D57AC9" w:rsidP="005D2706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£</w:t>
            </w:r>
            <w:r w:rsidR="002E2251">
              <w:rPr>
                <w:sz w:val="28"/>
                <w:szCs w:val="28"/>
              </w:rPr>
              <w:t>17.</w:t>
            </w:r>
            <w:r w:rsidR="00B921AC">
              <w:rPr>
                <w:sz w:val="28"/>
                <w:szCs w:val="28"/>
              </w:rPr>
              <w:t>90</w:t>
            </w:r>
          </w:p>
        </w:tc>
        <w:tc>
          <w:tcPr>
            <w:tcW w:w="3081" w:type="dxa"/>
          </w:tcPr>
          <w:p w14:paraId="4E0A3296" w14:textId="303152AF" w:rsidR="00D57AC9" w:rsidRPr="00FF1CA4" w:rsidRDefault="00D57AC9" w:rsidP="005D2706">
            <w:pPr>
              <w:rPr>
                <w:sz w:val="28"/>
                <w:szCs w:val="28"/>
              </w:rPr>
            </w:pPr>
            <w:r w:rsidRPr="00FF1CA4">
              <w:rPr>
                <w:sz w:val="28"/>
                <w:szCs w:val="28"/>
              </w:rPr>
              <w:t>£</w:t>
            </w:r>
            <w:r w:rsidR="00B921AC">
              <w:rPr>
                <w:sz w:val="28"/>
                <w:szCs w:val="28"/>
              </w:rPr>
              <w:t>71.60/</w:t>
            </w:r>
            <w:r w:rsidR="00F1129E">
              <w:rPr>
                <w:sz w:val="28"/>
                <w:szCs w:val="28"/>
              </w:rPr>
              <w:t>£90.80</w:t>
            </w:r>
          </w:p>
        </w:tc>
      </w:tr>
      <w:tr w:rsidR="00377BA5" w:rsidRPr="00FF1CA4" w14:paraId="6305BBAF" w14:textId="77777777" w:rsidTr="00D57AC9">
        <w:tc>
          <w:tcPr>
            <w:tcW w:w="3080" w:type="dxa"/>
          </w:tcPr>
          <w:p w14:paraId="353C5B98" w14:textId="77777777" w:rsidR="002240C1" w:rsidRDefault="002240C1" w:rsidP="005D2706">
            <w:pPr>
              <w:rPr>
                <w:b/>
                <w:bCs/>
                <w:sz w:val="28"/>
                <w:szCs w:val="28"/>
              </w:rPr>
            </w:pPr>
            <w:r w:rsidRPr="002240C1">
              <w:rPr>
                <w:b/>
                <w:bCs/>
                <w:sz w:val="28"/>
                <w:szCs w:val="28"/>
              </w:rPr>
              <w:t xml:space="preserve">Scottish child payment </w:t>
            </w:r>
          </w:p>
          <w:p w14:paraId="194B5560" w14:textId="45801BC2" w:rsidR="006F2E26" w:rsidRPr="002240C1" w:rsidRDefault="006F2E26" w:rsidP="005D27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From 6</w:t>
            </w:r>
            <w:r w:rsidRPr="006F2E2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April 2026</w:t>
            </w:r>
          </w:p>
        </w:tc>
        <w:tc>
          <w:tcPr>
            <w:tcW w:w="3081" w:type="dxa"/>
          </w:tcPr>
          <w:p w14:paraId="7A16F28D" w14:textId="70086CF7" w:rsidR="002240C1" w:rsidRPr="00FF1CA4" w:rsidRDefault="002240C1" w:rsidP="005D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F1129E">
              <w:rPr>
                <w:sz w:val="28"/>
                <w:szCs w:val="28"/>
              </w:rPr>
              <w:t>8.20</w:t>
            </w:r>
            <w:r>
              <w:rPr>
                <w:sz w:val="28"/>
                <w:szCs w:val="28"/>
              </w:rPr>
              <w:t xml:space="preserve"> not deductible </w:t>
            </w:r>
          </w:p>
        </w:tc>
        <w:tc>
          <w:tcPr>
            <w:tcW w:w="3081" w:type="dxa"/>
          </w:tcPr>
          <w:p w14:paraId="5D6411A4" w14:textId="675BDEB6" w:rsidR="002240C1" w:rsidRPr="00FF1CA4" w:rsidRDefault="00377BA5" w:rsidP="005D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£112.80/£1,466.40</w:t>
            </w:r>
          </w:p>
        </w:tc>
      </w:tr>
      <w:bookmarkEnd w:id="0"/>
    </w:tbl>
    <w:p w14:paraId="7B2E1ACF" w14:textId="77777777" w:rsidR="006411E7" w:rsidRPr="001429CE" w:rsidRDefault="006411E7" w:rsidP="005D2706">
      <w:pPr>
        <w:rPr>
          <w:sz w:val="24"/>
          <w:szCs w:val="24"/>
        </w:rPr>
      </w:pPr>
    </w:p>
    <w:p w14:paraId="32C77C6C" w14:textId="6DE256BC" w:rsidR="00D57AC9" w:rsidRPr="00DC4742" w:rsidRDefault="00377BA5" w:rsidP="00DC47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4742">
        <w:rPr>
          <w:b/>
          <w:sz w:val="24"/>
          <w:szCs w:val="24"/>
        </w:rPr>
        <w:t xml:space="preserve">Kinship </w:t>
      </w:r>
      <w:r w:rsidR="00D57AC9" w:rsidRPr="00DC4742">
        <w:rPr>
          <w:b/>
          <w:sz w:val="24"/>
          <w:szCs w:val="24"/>
        </w:rPr>
        <w:t xml:space="preserve">Carer is not eligible for Child Element of Universal </w:t>
      </w:r>
      <w:r w:rsidR="006411E7" w:rsidRPr="00DC4742">
        <w:rPr>
          <w:b/>
          <w:sz w:val="24"/>
          <w:szCs w:val="24"/>
        </w:rPr>
        <w:t>Credit if child is LAC.</w:t>
      </w:r>
    </w:p>
    <w:p w14:paraId="6A4F0E7D" w14:textId="16B66417" w:rsidR="002F6170" w:rsidRPr="00DC4742" w:rsidRDefault="00DB242A" w:rsidP="00DC47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4742">
        <w:rPr>
          <w:b/>
          <w:sz w:val="24"/>
          <w:szCs w:val="24"/>
        </w:rPr>
        <w:t>Child benefit to be deducted whether Kinship carer has applied or not</w:t>
      </w:r>
    </w:p>
    <w:p w14:paraId="6FC44436" w14:textId="27C82427" w:rsidR="00DB242A" w:rsidRPr="00DC4742" w:rsidRDefault="00DB242A" w:rsidP="00DC47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4742">
        <w:rPr>
          <w:b/>
          <w:sz w:val="24"/>
          <w:szCs w:val="24"/>
        </w:rPr>
        <w:t xml:space="preserve">Child benefit </w:t>
      </w:r>
      <w:r w:rsidR="0091014F" w:rsidRPr="00DC4742">
        <w:rPr>
          <w:b/>
          <w:sz w:val="24"/>
          <w:szCs w:val="24"/>
        </w:rPr>
        <w:t xml:space="preserve">individual </w:t>
      </w:r>
      <w:r w:rsidRPr="00DC4742">
        <w:rPr>
          <w:b/>
          <w:sz w:val="24"/>
          <w:szCs w:val="24"/>
        </w:rPr>
        <w:t xml:space="preserve">income </w:t>
      </w:r>
      <w:r w:rsidR="0091014F" w:rsidRPr="00DC4742">
        <w:rPr>
          <w:b/>
          <w:sz w:val="24"/>
          <w:szCs w:val="24"/>
        </w:rPr>
        <w:t>threshold allowance £60,000 for 26/27</w:t>
      </w:r>
    </w:p>
    <w:p w14:paraId="6CE4CE29" w14:textId="6E6DED67" w:rsidR="00925FF7" w:rsidRPr="00DC4742" w:rsidRDefault="006411E7" w:rsidP="00DC47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4742">
        <w:rPr>
          <w:b/>
          <w:sz w:val="24"/>
          <w:szCs w:val="24"/>
        </w:rPr>
        <w:t xml:space="preserve">Household Income Threshold for </w:t>
      </w:r>
      <w:r w:rsidR="006C5DC8" w:rsidRPr="00DC4742">
        <w:rPr>
          <w:b/>
          <w:sz w:val="24"/>
          <w:szCs w:val="24"/>
        </w:rPr>
        <w:t xml:space="preserve">s.11 </w:t>
      </w:r>
      <w:r w:rsidRPr="00DC4742">
        <w:rPr>
          <w:b/>
          <w:sz w:val="24"/>
          <w:szCs w:val="24"/>
        </w:rPr>
        <w:t xml:space="preserve">Allowance </w:t>
      </w:r>
      <w:r w:rsidR="004469B1" w:rsidRPr="00DC4742">
        <w:rPr>
          <w:b/>
          <w:sz w:val="24"/>
          <w:szCs w:val="24"/>
        </w:rPr>
        <w:t>(KCO)</w:t>
      </w:r>
      <w:r w:rsidR="008A6D58" w:rsidRPr="00DC4742">
        <w:rPr>
          <w:b/>
          <w:sz w:val="24"/>
          <w:szCs w:val="24"/>
        </w:rPr>
        <w:t>, f</w:t>
      </w:r>
      <w:r w:rsidR="004469B1" w:rsidRPr="00DC4742">
        <w:rPr>
          <w:b/>
          <w:sz w:val="24"/>
          <w:szCs w:val="24"/>
        </w:rPr>
        <w:t>ollowing Kinship</w:t>
      </w:r>
      <w:r w:rsidR="008A6D58" w:rsidRPr="00DC4742">
        <w:rPr>
          <w:b/>
          <w:sz w:val="24"/>
          <w:szCs w:val="24"/>
        </w:rPr>
        <w:t xml:space="preserve"> Procedures</w:t>
      </w:r>
      <w:r w:rsidR="004469B1" w:rsidRPr="00DC4742">
        <w:rPr>
          <w:b/>
          <w:sz w:val="24"/>
          <w:szCs w:val="24"/>
        </w:rPr>
        <w:t xml:space="preserve"> </w:t>
      </w:r>
      <w:r w:rsidRPr="00DC4742">
        <w:rPr>
          <w:b/>
          <w:sz w:val="24"/>
          <w:szCs w:val="24"/>
        </w:rPr>
        <w:t xml:space="preserve">= </w:t>
      </w:r>
      <w:r w:rsidR="009A34AB" w:rsidRPr="00DC4742">
        <w:rPr>
          <w:b/>
          <w:sz w:val="24"/>
          <w:szCs w:val="24"/>
        </w:rPr>
        <w:t>Net income top of Grade K</w:t>
      </w:r>
      <w:r w:rsidR="007C2C04" w:rsidRPr="00DC4742">
        <w:rPr>
          <w:b/>
          <w:sz w:val="24"/>
          <w:szCs w:val="24"/>
        </w:rPr>
        <w:t xml:space="preserve"> currently £57,914</w:t>
      </w:r>
    </w:p>
    <w:p w14:paraId="2B5E20D3" w14:textId="3ED2E44B" w:rsidR="001429CE" w:rsidRPr="00DC4742" w:rsidRDefault="006C5DC8" w:rsidP="005D270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4742">
        <w:rPr>
          <w:b/>
          <w:sz w:val="24"/>
          <w:szCs w:val="24"/>
        </w:rPr>
        <w:t xml:space="preserve">S.11 Allowance – </w:t>
      </w:r>
      <w:r w:rsidR="007C2C04" w:rsidRPr="00DC4742">
        <w:rPr>
          <w:b/>
          <w:sz w:val="24"/>
          <w:szCs w:val="24"/>
        </w:rPr>
        <w:t>N</w:t>
      </w:r>
      <w:r w:rsidRPr="00DC4742">
        <w:rPr>
          <w:b/>
          <w:sz w:val="24"/>
          <w:szCs w:val="24"/>
        </w:rPr>
        <w:t>o payments once child is 16</w:t>
      </w:r>
      <w:r w:rsidR="001429CE" w:rsidRPr="00DC4742">
        <w:rPr>
          <w:b/>
          <w:sz w:val="24"/>
          <w:szCs w:val="24"/>
        </w:rPr>
        <w:t xml:space="preserve"> </w:t>
      </w:r>
      <w:r w:rsidR="008B6D4E" w:rsidRPr="00DC4742">
        <w:rPr>
          <w:b/>
          <w:sz w:val="24"/>
          <w:szCs w:val="24"/>
        </w:rPr>
        <w:t xml:space="preserve">unless they stay in school (no other education is applicable).  Then payments continue until they leave school.  </w:t>
      </w:r>
      <w:r w:rsidR="00E20AA3" w:rsidRPr="00DC4742">
        <w:rPr>
          <w:b/>
          <w:sz w:val="24"/>
          <w:szCs w:val="24"/>
        </w:rPr>
        <w:t>Continue to pay until August, then if they leave, stop payments and there will be 2 weeks’ overpayment.</w:t>
      </w:r>
    </w:p>
    <w:p w14:paraId="7267A484" w14:textId="77777777" w:rsidR="00FF1CA4" w:rsidRPr="00DC4742" w:rsidRDefault="001429CE" w:rsidP="00DC47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4742">
        <w:rPr>
          <w:b/>
          <w:sz w:val="24"/>
          <w:szCs w:val="24"/>
        </w:rPr>
        <w:t xml:space="preserve">All kinship payments paid under s.22 except KCO which is under s.50.  </w:t>
      </w:r>
    </w:p>
    <w:p w14:paraId="7CF21EB6" w14:textId="7BB60B68" w:rsidR="001429CE" w:rsidRDefault="001429CE" w:rsidP="00DC47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4742">
        <w:rPr>
          <w:b/>
          <w:sz w:val="24"/>
          <w:szCs w:val="24"/>
        </w:rPr>
        <w:t>s.22 = “child in need” NOT for accommodation/maintenance</w:t>
      </w:r>
      <w:r w:rsidR="00DC4742" w:rsidRPr="00DC4742">
        <w:rPr>
          <w:b/>
          <w:sz w:val="24"/>
          <w:szCs w:val="24"/>
        </w:rPr>
        <w:t xml:space="preserve"> (remember this when Kinship carer is applying for the child benefit</w:t>
      </w:r>
    </w:p>
    <w:p w14:paraId="023586A7" w14:textId="77777777" w:rsidR="00545613" w:rsidRPr="00DC4742" w:rsidRDefault="00545613" w:rsidP="00545613">
      <w:pPr>
        <w:pStyle w:val="ListParagraph"/>
        <w:rPr>
          <w:b/>
          <w:sz w:val="24"/>
          <w:szCs w:val="24"/>
        </w:rPr>
      </w:pPr>
    </w:p>
    <w:p w14:paraId="22F710D3" w14:textId="77777777" w:rsidR="00545613" w:rsidRPr="00545613" w:rsidRDefault="00C53243" w:rsidP="0054561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5613">
        <w:rPr>
          <w:b/>
          <w:sz w:val="24"/>
          <w:szCs w:val="24"/>
        </w:rPr>
        <w:lastRenderedPageBreak/>
        <w:t xml:space="preserve">Approved Kinship carers where the child is LAC </w:t>
      </w:r>
      <w:r w:rsidR="00545613" w:rsidRPr="00545613">
        <w:rPr>
          <w:b/>
          <w:sz w:val="24"/>
          <w:szCs w:val="24"/>
        </w:rPr>
        <w:t>–</w:t>
      </w:r>
      <w:r w:rsidRPr="00545613">
        <w:rPr>
          <w:b/>
          <w:sz w:val="24"/>
          <w:szCs w:val="24"/>
        </w:rPr>
        <w:t xml:space="preserve"> </w:t>
      </w:r>
      <w:r w:rsidR="00545613" w:rsidRPr="00545613">
        <w:rPr>
          <w:b/>
          <w:sz w:val="24"/>
          <w:szCs w:val="24"/>
        </w:rPr>
        <w:t xml:space="preserve">4 extra payments </w:t>
      </w:r>
    </w:p>
    <w:p w14:paraId="56C32837" w14:textId="0D3C0B09" w:rsidR="001429CE" w:rsidRPr="00C27FC0" w:rsidRDefault="00545613" w:rsidP="00F12BF7">
      <w:pPr>
        <w:pStyle w:val="ListParagraph"/>
        <w:rPr>
          <w:b/>
          <w:sz w:val="24"/>
          <w:szCs w:val="24"/>
        </w:rPr>
      </w:pPr>
      <w:r w:rsidRPr="00545613">
        <w:rPr>
          <w:b/>
          <w:sz w:val="24"/>
          <w:szCs w:val="24"/>
        </w:rPr>
        <w:t>Birthday (1 week), Christmas (1 week), Summer (2 weeks)</w:t>
      </w:r>
    </w:p>
    <w:p w14:paraId="21B6CDCC" w14:textId="4240ED2E" w:rsidR="001429CE" w:rsidRPr="00F12BF7" w:rsidRDefault="001429CE" w:rsidP="00F12BF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12BF7">
        <w:rPr>
          <w:b/>
          <w:sz w:val="24"/>
          <w:szCs w:val="24"/>
        </w:rPr>
        <w:t>Kinship Allowance disregarded as income in relation to new Scottish Child payment.</w:t>
      </w:r>
    </w:p>
    <w:p w14:paraId="20C5D9FB" w14:textId="3F3984B0" w:rsidR="00925FF7" w:rsidRPr="001402C3" w:rsidRDefault="00F35B53" w:rsidP="001402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402C3">
        <w:rPr>
          <w:b/>
          <w:bCs/>
          <w:sz w:val="24"/>
          <w:szCs w:val="24"/>
        </w:rPr>
        <w:t>For Kinship carers on Universal credit and</w:t>
      </w:r>
      <w:r w:rsidR="0024107D" w:rsidRPr="001402C3">
        <w:rPr>
          <w:b/>
          <w:bCs/>
          <w:sz w:val="24"/>
          <w:szCs w:val="24"/>
        </w:rPr>
        <w:t xml:space="preserve"> eligible to</w:t>
      </w:r>
      <w:r w:rsidRPr="001402C3">
        <w:rPr>
          <w:b/>
          <w:bCs/>
          <w:sz w:val="24"/>
          <w:szCs w:val="24"/>
        </w:rPr>
        <w:t xml:space="preserve"> claim </w:t>
      </w:r>
      <w:r w:rsidR="0024107D" w:rsidRPr="001402C3">
        <w:rPr>
          <w:b/>
          <w:bCs/>
          <w:sz w:val="24"/>
          <w:szCs w:val="24"/>
        </w:rPr>
        <w:t>the child element</w:t>
      </w:r>
      <w:r w:rsidR="00141791" w:rsidRPr="001402C3">
        <w:rPr>
          <w:b/>
          <w:bCs/>
          <w:sz w:val="24"/>
          <w:szCs w:val="24"/>
        </w:rPr>
        <w:t>-</w:t>
      </w:r>
    </w:p>
    <w:p w14:paraId="5E42921B" w14:textId="7AB202F8" w:rsidR="00141791" w:rsidRPr="001402C3" w:rsidRDefault="00141791" w:rsidP="001402C3">
      <w:pPr>
        <w:pStyle w:val="ListParagraph"/>
        <w:rPr>
          <w:b/>
          <w:bCs/>
          <w:sz w:val="24"/>
          <w:szCs w:val="24"/>
        </w:rPr>
      </w:pPr>
      <w:r w:rsidRPr="001402C3">
        <w:rPr>
          <w:b/>
          <w:bCs/>
          <w:sz w:val="24"/>
          <w:szCs w:val="24"/>
        </w:rPr>
        <w:t>The two child limit is removed from 6</w:t>
      </w:r>
      <w:r w:rsidRPr="001402C3">
        <w:rPr>
          <w:b/>
          <w:bCs/>
          <w:sz w:val="24"/>
          <w:szCs w:val="24"/>
          <w:vertAlign w:val="superscript"/>
        </w:rPr>
        <w:t>th</w:t>
      </w:r>
      <w:r w:rsidRPr="001402C3">
        <w:rPr>
          <w:b/>
          <w:bCs/>
          <w:sz w:val="24"/>
          <w:szCs w:val="24"/>
        </w:rPr>
        <w:t xml:space="preserve"> April 2026</w:t>
      </w:r>
    </w:p>
    <w:p w14:paraId="7D1891FB" w14:textId="13B6D353" w:rsidR="00392D4F" w:rsidRPr="001402C3" w:rsidRDefault="00392D4F" w:rsidP="001402C3">
      <w:pPr>
        <w:pStyle w:val="ListParagraph"/>
        <w:rPr>
          <w:b/>
          <w:bCs/>
          <w:sz w:val="24"/>
          <w:szCs w:val="24"/>
        </w:rPr>
      </w:pPr>
      <w:r w:rsidRPr="001402C3">
        <w:rPr>
          <w:b/>
          <w:bCs/>
          <w:sz w:val="24"/>
          <w:szCs w:val="24"/>
        </w:rPr>
        <w:t>First child</w:t>
      </w:r>
      <w:r w:rsidR="005C7FDD" w:rsidRPr="001402C3">
        <w:rPr>
          <w:b/>
          <w:bCs/>
          <w:sz w:val="24"/>
          <w:szCs w:val="24"/>
        </w:rPr>
        <w:t xml:space="preserve">, </w:t>
      </w:r>
      <w:r w:rsidRPr="001402C3">
        <w:rPr>
          <w:b/>
          <w:bCs/>
          <w:sz w:val="24"/>
          <w:szCs w:val="24"/>
        </w:rPr>
        <w:t>born before 6</w:t>
      </w:r>
      <w:r w:rsidRPr="001402C3">
        <w:rPr>
          <w:b/>
          <w:bCs/>
          <w:sz w:val="24"/>
          <w:szCs w:val="24"/>
          <w:vertAlign w:val="superscript"/>
        </w:rPr>
        <w:t>th</w:t>
      </w:r>
      <w:r w:rsidRPr="001402C3">
        <w:rPr>
          <w:b/>
          <w:bCs/>
          <w:sz w:val="24"/>
          <w:szCs w:val="24"/>
        </w:rPr>
        <w:t xml:space="preserve"> April 2017</w:t>
      </w:r>
      <w:r w:rsidR="005C7FDD" w:rsidRPr="001402C3">
        <w:rPr>
          <w:b/>
          <w:bCs/>
          <w:sz w:val="24"/>
          <w:szCs w:val="24"/>
        </w:rPr>
        <w:t>,</w:t>
      </w:r>
      <w:r w:rsidRPr="001402C3">
        <w:rPr>
          <w:b/>
          <w:bCs/>
          <w:sz w:val="24"/>
          <w:szCs w:val="24"/>
        </w:rPr>
        <w:t xml:space="preserve"> =£351.88</w:t>
      </w:r>
    </w:p>
    <w:p w14:paraId="27BCB5A9" w14:textId="715856B2" w:rsidR="00392D4F" w:rsidRPr="001402C3" w:rsidRDefault="005C7FDD" w:rsidP="001402C3">
      <w:pPr>
        <w:pStyle w:val="ListParagraph"/>
        <w:rPr>
          <w:b/>
          <w:bCs/>
          <w:sz w:val="24"/>
          <w:szCs w:val="24"/>
        </w:rPr>
      </w:pPr>
      <w:r w:rsidRPr="001402C3">
        <w:rPr>
          <w:b/>
          <w:bCs/>
          <w:sz w:val="24"/>
          <w:szCs w:val="24"/>
        </w:rPr>
        <w:t>First child, born on/after 6</w:t>
      </w:r>
      <w:r w:rsidRPr="001402C3">
        <w:rPr>
          <w:b/>
          <w:bCs/>
          <w:sz w:val="24"/>
          <w:szCs w:val="24"/>
          <w:vertAlign w:val="superscript"/>
        </w:rPr>
        <w:t>th</w:t>
      </w:r>
      <w:r w:rsidRPr="001402C3">
        <w:rPr>
          <w:b/>
          <w:bCs/>
          <w:sz w:val="24"/>
          <w:szCs w:val="24"/>
        </w:rPr>
        <w:t xml:space="preserve"> April 2017 or subsequent children = £303.94</w:t>
      </w:r>
    </w:p>
    <w:p w14:paraId="4D141EA5" w14:textId="17AF5569" w:rsidR="004D0CC4" w:rsidRDefault="004D0CC4" w:rsidP="00022C0F">
      <w:pPr>
        <w:pStyle w:val="ListParagraph"/>
        <w:rPr>
          <w:b/>
          <w:bCs/>
          <w:sz w:val="24"/>
          <w:szCs w:val="24"/>
        </w:rPr>
      </w:pPr>
      <w:r w:rsidRPr="001402C3">
        <w:rPr>
          <w:b/>
          <w:bCs/>
          <w:sz w:val="24"/>
          <w:szCs w:val="24"/>
        </w:rPr>
        <w:t xml:space="preserve">Disabled children </w:t>
      </w:r>
      <w:r w:rsidR="0062133C" w:rsidRPr="001402C3">
        <w:rPr>
          <w:b/>
          <w:bCs/>
          <w:sz w:val="24"/>
          <w:szCs w:val="24"/>
        </w:rPr>
        <w:t>– additional payment lower rate £164.79 and higher rate £514.71</w:t>
      </w:r>
      <w:r w:rsidR="001402C3" w:rsidRPr="001402C3">
        <w:rPr>
          <w:b/>
          <w:bCs/>
          <w:sz w:val="24"/>
          <w:szCs w:val="24"/>
        </w:rPr>
        <w:t xml:space="preserve"> per child per month.</w:t>
      </w:r>
    </w:p>
    <w:p w14:paraId="441E5403" w14:textId="1BDB7C1C" w:rsidR="00022C0F" w:rsidRDefault="005943D1" w:rsidP="00022C0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</w:t>
      </w:r>
      <w:r w:rsidR="00022C0F">
        <w:rPr>
          <w:b/>
          <w:bCs/>
          <w:sz w:val="24"/>
          <w:szCs w:val="24"/>
        </w:rPr>
        <w:t xml:space="preserve">Please note Universal credit is paid </w:t>
      </w:r>
      <w:r w:rsidR="00493C04">
        <w:rPr>
          <w:b/>
          <w:bCs/>
          <w:sz w:val="24"/>
          <w:szCs w:val="24"/>
        </w:rPr>
        <w:t>in arrears</w:t>
      </w:r>
      <w:r>
        <w:rPr>
          <w:b/>
          <w:bCs/>
          <w:sz w:val="24"/>
          <w:szCs w:val="24"/>
        </w:rPr>
        <w:t>**</w:t>
      </w:r>
    </w:p>
    <w:p w14:paraId="63D6148E" w14:textId="77777777" w:rsidR="005943D1" w:rsidRPr="001402C3" w:rsidRDefault="005943D1" w:rsidP="00022C0F">
      <w:pPr>
        <w:pStyle w:val="ListParagraph"/>
        <w:rPr>
          <w:b/>
          <w:bCs/>
          <w:sz w:val="24"/>
          <w:szCs w:val="24"/>
        </w:rPr>
      </w:pPr>
    </w:p>
    <w:p w14:paraId="6C9AE756" w14:textId="77777777" w:rsidR="00AF2341" w:rsidRDefault="00C27FC0" w:rsidP="005D2706">
      <w:pPr>
        <w:rPr>
          <w:b/>
          <w:bCs/>
          <w:sz w:val="24"/>
          <w:szCs w:val="24"/>
        </w:rPr>
      </w:pPr>
      <w:r w:rsidRPr="00C27FC0">
        <w:rPr>
          <w:b/>
          <w:bCs/>
          <w:sz w:val="24"/>
          <w:szCs w:val="24"/>
        </w:rPr>
        <w:t xml:space="preserve">Advice from Alison Gillies, CPAG, when Universal Credit changes each month: </w:t>
      </w:r>
    </w:p>
    <w:p w14:paraId="2368050F" w14:textId="77777777" w:rsidR="00AF2341" w:rsidRDefault="00C27FC0" w:rsidP="005D2706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C27FC0">
        <w:rPr>
          <w:b/>
          <w:bCs/>
          <w:sz w:val="24"/>
          <w:szCs w:val="24"/>
        </w:rPr>
        <w:t>“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The logic of this is to work out what proportion of 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maximum UC 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they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ha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received each month during the </w:t>
      </w:r>
      <w:r w:rsidR="00ED635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6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month period. </w:t>
      </w:r>
    </w:p>
    <w:p w14:paraId="7D8AAE60" w14:textId="77777777" w:rsidR="00AF2341" w:rsidRDefault="00C27FC0" w:rsidP="005D2706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Then, for each month, apply that proportion (%) to the maximum child element </w:t>
      </w:r>
    </w:p>
    <w:p w14:paraId="7B0A6819" w14:textId="32A249CF" w:rsidR="00FF1CA4" w:rsidRPr="00C27FC0" w:rsidRDefault="00C27FC0" w:rsidP="005D270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(£3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51.88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a month</w:t>
      </w:r>
      <w:r w:rsidR="007576CD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for oldest child 202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6</w:t>
      </w:r>
      <w:r w:rsidR="007576CD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/2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7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) to work out what amount 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they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actually received for the child during that month. Then</w:t>
      </w:r>
      <w:r w:rsidR="00AF234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27FC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work out an average from that</w:t>
      </w:r>
      <w:r w:rsidR="00711579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.”</w:t>
      </w:r>
    </w:p>
    <w:sectPr w:rsidR="00FF1CA4" w:rsidRPr="00C27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0A74" w14:textId="77777777" w:rsidR="00710AD9" w:rsidRDefault="00710AD9" w:rsidP="001364FC">
      <w:r>
        <w:separator/>
      </w:r>
    </w:p>
  </w:endnote>
  <w:endnote w:type="continuationSeparator" w:id="0">
    <w:p w14:paraId="5D078912" w14:textId="77777777" w:rsidR="00710AD9" w:rsidRDefault="00710AD9" w:rsidP="0013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A231" w14:textId="77777777" w:rsidR="00710AD9" w:rsidRDefault="00710AD9" w:rsidP="001364FC">
      <w:r>
        <w:separator/>
      </w:r>
    </w:p>
  </w:footnote>
  <w:footnote w:type="continuationSeparator" w:id="0">
    <w:p w14:paraId="46356B7E" w14:textId="77777777" w:rsidR="00710AD9" w:rsidRDefault="00710AD9" w:rsidP="0013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BF8"/>
    <w:multiLevelType w:val="hybridMultilevel"/>
    <w:tmpl w:val="74FE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06"/>
    <w:rsid w:val="00015C23"/>
    <w:rsid w:val="00022C0F"/>
    <w:rsid w:val="000637B3"/>
    <w:rsid w:val="00083DED"/>
    <w:rsid w:val="000B6FCF"/>
    <w:rsid w:val="000F0330"/>
    <w:rsid w:val="001364FC"/>
    <w:rsid w:val="001402C3"/>
    <w:rsid w:val="00141791"/>
    <w:rsid w:val="001429CE"/>
    <w:rsid w:val="00145B87"/>
    <w:rsid w:val="001D3EF3"/>
    <w:rsid w:val="00222663"/>
    <w:rsid w:val="002240C1"/>
    <w:rsid w:val="0024107D"/>
    <w:rsid w:val="00245909"/>
    <w:rsid w:val="00275551"/>
    <w:rsid w:val="00296C7F"/>
    <w:rsid w:val="002E2251"/>
    <w:rsid w:val="002F6170"/>
    <w:rsid w:val="00301F82"/>
    <w:rsid w:val="00335ECD"/>
    <w:rsid w:val="003701A1"/>
    <w:rsid w:val="00377BA5"/>
    <w:rsid w:val="00392D4F"/>
    <w:rsid w:val="003A7D01"/>
    <w:rsid w:val="003D62A8"/>
    <w:rsid w:val="004469B1"/>
    <w:rsid w:val="00493C04"/>
    <w:rsid w:val="004D0CC4"/>
    <w:rsid w:val="00545613"/>
    <w:rsid w:val="005943D1"/>
    <w:rsid w:val="005C7FDD"/>
    <w:rsid w:val="005D2706"/>
    <w:rsid w:val="005F2B93"/>
    <w:rsid w:val="00620A58"/>
    <w:rsid w:val="0062133C"/>
    <w:rsid w:val="006218C2"/>
    <w:rsid w:val="006411E7"/>
    <w:rsid w:val="006515E6"/>
    <w:rsid w:val="00656FF4"/>
    <w:rsid w:val="006C5DC8"/>
    <w:rsid w:val="006D05FB"/>
    <w:rsid w:val="006E3C67"/>
    <w:rsid w:val="006F2E26"/>
    <w:rsid w:val="00707A87"/>
    <w:rsid w:val="00710AD9"/>
    <w:rsid w:val="00711579"/>
    <w:rsid w:val="0071480D"/>
    <w:rsid w:val="00723CA2"/>
    <w:rsid w:val="007576CD"/>
    <w:rsid w:val="007A0454"/>
    <w:rsid w:val="007C2C04"/>
    <w:rsid w:val="00813BBC"/>
    <w:rsid w:val="008262BA"/>
    <w:rsid w:val="00856520"/>
    <w:rsid w:val="00857505"/>
    <w:rsid w:val="008602A2"/>
    <w:rsid w:val="008A6D58"/>
    <w:rsid w:val="008B6D4E"/>
    <w:rsid w:val="008C542F"/>
    <w:rsid w:val="00901F72"/>
    <w:rsid w:val="0091014F"/>
    <w:rsid w:val="00925FF7"/>
    <w:rsid w:val="009A34AB"/>
    <w:rsid w:val="009A7048"/>
    <w:rsid w:val="009B2063"/>
    <w:rsid w:val="009C7035"/>
    <w:rsid w:val="00A27596"/>
    <w:rsid w:val="00AC51EA"/>
    <w:rsid w:val="00AD53E9"/>
    <w:rsid w:val="00AF2341"/>
    <w:rsid w:val="00AF345A"/>
    <w:rsid w:val="00B41BF3"/>
    <w:rsid w:val="00B66365"/>
    <w:rsid w:val="00B921AC"/>
    <w:rsid w:val="00C07A08"/>
    <w:rsid w:val="00C27FC0"/>
    <w:rsid w:val="00C42150"/>
    <w:rsid w:val="00C53243"/>
    <w:rsid w:val="00C770AB"/>
    <w:rsid w:val="00CC61FB"/>
    <w:rsid w:val="00D564EB"/>
    <w:rsid w:val="00D57AC9"/>
    <w:rsid w:val="00D73111"/>
    <w:rsid w:val="00DB242A"/>
    <w:rsid w:val="00DC4742"/>
    <w:rsid w:val="00DC56FA"/>
    <w:rsid w:val="00E10220"/>
    <w:rsid w:val="00E20AA3"/>
    <w:rsid w:val="00E526B2"/>
    <w:rsid w:val="00E57ECD"/>
    <w:rsid w:val="00E97900"/>
    <w:rsid w:val="00EC2E7E"/>
    <w:rsid w:val="00ED6352"/>
    <w:rsid w:val="00F1129E"/>
    <w:rsid w:val="00F12BF7"/>
    <w:rsid w:val="00F35B53"/>
    <w:rsid w:val="00F51861"/>
    <w:rsid w:val="00F60FD7"/>
    <w:rsid w:val="00F8508B"/>
    <w:rsid w:val="00F91A53"/>
    <w:rsid w:val="00F970A7"/>
    <w:rsid w:val="00FB7D82"/>
    <w:rsid w:val="00FE0707"/>
    <w:rsid w:val="00FE12B6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8A95"/>
  <w15:docId w15:val="{3D0364AC-F840-466A-B63E-41927A4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0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27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36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4F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64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4F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18F2BD-8F54-4FBB-9873-66CDC183D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2BAEF-2A57-4D1F-82A3-24D6CF60A38B}"/>
</file>

<file path=customXml/itemProps3.xml><?xml version="1.0" encoding="utf-8"?>
<ds:datastoreItem xmlns:ds="http://schemas.openxmlformats.org/officeDocument/2006/customXml" ds:itemID="{58566493-37BE-429A-854F-7EF463F67FD2}"/>
</file>

<file path=customXml/itemProps4.xml><?xml version="1.0" encoding="utf-8"?>
<ds:datastoreItem xmlns:ds="http://schemas.openxmlformats.org/officeDocument/2006/customXml" ds:itemID="{A6B6DFAF-6A28-4D7B-A495-B31A0009E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Ritchie</dc:creator>
  <cp:lastModifiedBy>Sharon McCafferty</cp:lastModifiedBy>
  <cp:revision>2</cp:revision>
  <cp:lastPrinted>2026-01-15T11:59:00Z</cp:lastPrinted>
  <dcterms:created xsi:type="dcterms:W3CDTF">2026-07-02T12:06:00Z</dcterms:created>
  <dcterms:modified xsi:type="dcterms:W3CDTF">2026-07-02T12:06:00Z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