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932"/>
      </w:tblGrid>
      <w:tr w:rsidR="00D84368" w14:paraId="2918BC16" w14:textId="77777777" w:rsidTr="6E78A4C6">
        <w:tc>
          <w:tcPr>
            <w:tcW w:w="1696" w:type="dxa"/>
          </w:tcPr>
          <w:p w14:paraId="3ED8B41F" w14:textId="5FB36E89" w:rsidR="00D84368" w:rsidRDefault="00D84368" w:rsidP="00D84368">
            <w:pPr>
              <w:pStyle w:val="Heading1"/>
              <w:spacing w:before="60" w:after="60"/>
            </w:pPr>
            <w:r>
              <w:t>Workstream Title:</w:t>
            </w:r>
          </w:p>
        </w:tc>
        <w:tc>
          <w:tcPr>
            <w:tcW w:w="7932" w:type="dxa"/>
          </w:tcPr>
          <w:p w14:paraId="1A82DB03" w14:textId="7224070C" w:rsidR="00D84368" w:rsidRDefault="007D7A08" w:rsidP="00D84368">
            <w:pPr>
              <w:pStyle w:val="Heading1"/>
              <w:spacing w:before="60" w:after="60"/>
            </w:pPr>
            <w:r>
              <w:t>Emergency Planning and Resilience</w:t>
            </w:r>
          </w:p>
        </w:tc>
      </w:tr>
      <w:tr w:rsidR="00D84368" w14:paraId="02F45114" w14:textId="77777777" w:rsidTr="6E78A4C6">
        <w:tc>
          <w:tcPr>
            <w:tcW w:w="1696" w:type="dxa"/>
          </w:tcPr>
          <w:p w14:paraId="34F46219" w14:textId="2D138131" w:rsidR="00D84368" w:rsidRDefault="00D84368" w:rsidP="00D84368">
            <w:pPr>
              <w:pStyle w:val="Heading1"/>
              <w:spacing w:before="60" w:after="60"/>
            </w:pPr>
            <w:r>
              <w:t>Date:</w:t>
            </w:r>
          </w:p>
        </w:tc>
        <w:tc>
          <w:tcPr>
            <w:tcW w:w="7932" w:type="dxa"/>
          </w:tcPr>
          <w:p w14:paraId="1E642536" w14:textId="40A97129" w:rsidR="00D84368" w:rsidRDefault="00E17C58" w:rsidP="00D84368">
            <w:pPr>
              <w:pStyle w:val="Heading1"/>
              <w:spacing w:before="60" w:after="60"/>
            </w:pPr>
            <w:r>
              <w:t>2 April 2026</w:t>
            </w:r>
          </w:p>
        </w:tc>
      </w:tr>
    </w:tbl>
    <w:p w14:paraId="787A8D5D" w14:textId="77777777" w:rsidR="00C60DFF" w:rsidRDefault="00C60DFF" w:rsidP="00C23D31"/>
    <w:p w14:paraId="4F2DB5CF" w14:textId="7C1FA4CF" w:rsidR="007E708B" w:rsidRDefault="007E708B" w:rsidP="00486767">
      <w:pPr>
        <w:pStyle w:val="Heading1"/>
        <w:tabs>
          <w:tab w:val="left" w:pos="709"/>
        </w:tabs>
        <w:rPr>
          <w:lang w:val="en-US"/>
        </w:rPr>
      </w:pPr>
      <w:r w:rsidRPr="007E708B">
        <w:rPr>
          <w:lang w:val="en-US"/>
        </w:rPr>
        <w:t>1.</w:t>
      </w:r>
      <w:r>
        <w:rPr>
          <w:lang w:val="en-US"/>
        </w:rPr>
        <w:tab/>
      </w:r>
      <w:r w:rsidRPr="007E708B">
        <w:rPr>
          <w:lang w:val="en-US"/>
        </w:rPr>
        <w:t>Overarching Purpose of Workstream</w:t>
      </w:r>
    </w:p>
    <w:p w14:paraId="2DC70D22" w14:textId="77777777" w:rsidR="007E708B" w:rsidRPr="007E708B" w:rsidRDefault="007E708B" w:rsidP="007E708B">
      <w:pPr>
        <w:rPr>
          <w:lang w:val="en-US"/>
        </w:rPr>
      </w:pPr>
    </w:p>
    <w:p w14:paraId="27A4B3D2" w14:textId="2D46AC31" w:rsidR="007E708B" w:rsidRPr="007D7A08" w:rsidRDefault="007E708B" w:rsidP="7237BB58">
      <w:pPr>
        <w:ind w:left="709"/>
      </w:pPr>
      <w:r>
        <w:t xml:space="preserve">The Collaboration through Transformation Board has been established to oversee the work being undertaken to deliver transformation through collaboration with partners.  In the first instance, the Board is focused on the approved Tranche 1 functions and corporate overarching workstreams.  The </w:t>
      </w:r>
      <w:r w:rsidR="41C67896" w:rsidRPr="7237BB58">
        <w:rPr>
          <w:rFonts w:cs="Arial"/>
          <w:color w:val="000000" w:themeColor="text1"/>
        </w:rPr>
        <w:t>Resilience and Emergency Planning</w:t>
      </w:r>
      <w:r w:rsidR="41C67896">
        <w:t xml:space="preserve"> </w:t>
      </w:r>
      <w:r>
        <w:t>workstream is</w:t>
      </w:r>
      <w:r w:rsidR="007D7A08">
        <w:t xml:space="preserve"> included in Tranche 1. </w:t>
      </w:r>
      <w:r>
        <w:t xml:space="preserve">  </w:t>
      </w:r>
    </w:p>
    <w:p w14:paraId="2FC11281" w14:textId="77777777" w:rsidR="007E708B" w:rsidRPr="007D7A08" w:rsidRDefault="007E708B" w:rsidP="00486767">
      <w:pPr>
        <w:ind w:left="709" w:hanging="709"/>
      </w:pPr>
    </w:p>
    <w:p w14:paraId="336A1D56" w14:textId="56911547" w:rsidR="00DA6585" w:rsidRPr="007D7A08" w:rsidRDefault="007E708B" w:rsidP="7237BB58">
      <w:pPr>
        <w:ind w:left="709"/>
      </w:pPr>
      <w:r>
        <w:t xml:space="preserve">A key priority for the </w:t>
      </w:r>
      <w:r w:rsidR="6B7DFA80" w:rsidRPr="7237BB58">
        <w:rPr>
          <w:rFonts w:cs="Arial"/>
          <w:color w:val="000000" w:themeColor="text1"/>
        </w:rPr>
        <w:t>Resilience and Emergency Planning</w:t>
      </w:r>
      <w:r>
        <w:t xml:space="preserve"> workstream is to deliver a</w:t>
      </w:r>
      <w:r w:rsidR="03CAE05D">
        <w:t xml:space="preserve"> </w:t>
      </w:r>
      <w:r>
        <w:t>Business Case which supports the delivery of integrated services across partner organisations</w:t>
      </w:r>
      <w:r w:rsidR="007D7A08">
        <w:t>.</w:t>
      </w:r>
      <w:r>
        <w:t xml:space="preserve"> </w:t>
      </w:r>
    </w:p>
    <w:p w14:paraId="235308AE" w14:textId="77777777" w:rsidR="007D7A08" w:rsidRPr="007E708B" w:rsidRDefault="007D7A08" w:rsidP="00DA6585">
      <w:pPr>
        <w:pStyle w:val="Bullet"/>
        <w:numPr>
          <w:ilvl w:val="0"/>
          <w:numId w:val="0"/>
        </w:numPr>
        <w:ind w:left="1418"/>
      </w:pPr>
    </w:p>
    <w:p w14:paraId="41744555" w14:textId="07925534" w:rsidR="00CF0763" w:rsidRDefault="3B62F17F" w:rsidP="3B62F17F">
      <w:pPr>
        <w:rPr>
          <w:b/>
          <w:bCs/>
          <w:lang w:val="en-US"/>
        </w:rPr>
      </w:pPr>
      <w:r w:rsidRPr="3B62F17F">
        <w:rPr>
          <w:b/>
          <w:bCs/>
          <w:lang w:val="en-US"/>
        </w:rPr>
        <w:t xml:space="preserve">1.2. </w:t>
      </w:r>
      <w:r w:rsidR="00DA6585">
        <w:tab/>
      </w:r>
      <w:r w:rsidR="00A01324">
        <w:rPr>
          <w:b/>
          <w:bCs/>
          <w:lang w:val="en-US"/>
        </w:rPr>
        <w:t>Project Aim</w:t>
      </w:r>
      <w:r w:rsidRPr="3B62F17F">
        <w:rPr>
          <w:b/>
          <w:bCs/>
          <w:lang w:val="en-US"/>
        </w:rPr>
        <w:t xml:space="preserve"> </w:t>
      </w:r>
    </w:p>
    <w:p w14:paraId="7DF8801F" w14:textId="05A8FA97" w:rsidR="004D61CA" w:rsidRPr="007A2734" w:rsidRDefault="004D61CA" w:rsidP="007E708B">
      <w:pPr>
        <w:rPr>
          <w:rFonts w:cs="Arial"/>
          <w:b/>
          <w:bCs/>
          <w:color w:val="FFFFFF" w:themeColor="background1"/>
          <w:sz w:val="32"/>
          <w:szCs w:val="32"/>
          <w:lang w:val="en-US"/>
        </w:rPr>
      </w:pPr>
    </w:p>
    <w:tbl>
      <w:tblPr>
        <w:tblStyle w:val="TableGrid"/>
        <w:tblW w:w="8930" w:type="dxa"/>
        <w:tblInd w:w="704" w:type="dxa"/>
        <w:tblLook w:val="04A0" w:firstRow="1" w:lastRow="0" w:firstColumn="1" w:lastColumn="0" w:noHBand="0" w:noVBand="1"/>
      </w:tblPr>
      <w:tblGrid>
        <w:gridCol w:w="8930"/>
      </w:tblGrid>
      <w:tr w:rsidR="007A2734" w:rsidRPr="007A2734" w14:paraId="6BE48BF2" w14:textId="77777777" w:rsidTr="001039A9">
        <w:trPr>
          <w:trHeight w:val="300"/>
        </w:trPr>
        <w:tc>
          <w:tcPr>
            <w:tcW w:w="8930" w:type="dxa"/>
            <w:shd w:val="clear" w:color="auto" w:fill="196B24" w:themeFill="accent3"/>
          </w:tcPr>
          <w:p w14:paraId="415819DA" w14:textId="300118FB" w:rsidR="004D61CA" w:rsidRPr="007A2734" w:rsidRDefault="00A01324" w:rsidP="52D1BF9C">
            <w:pPr>
              <w:spacing w:before="60" w:after="60"/>
              <w:rPr>
                <w:rFonts w:cs="Arial"/>
                <w:b/>
                <w:bCs/>
                <w:color w:val="FFFFFF" w:themeColor="background1"/>
                <w:lang w:val="en-US"/>
              </w:rPr>
            </w:pPr>
            <w:r w:rsidRPr="007A2734">
              <w:rPr>
                <w:rFonts w:cs="Arial"/>
                <w:b/>
                <w:bCs/>
                <w:color w:val="FFFFFF" w:themeColor="background1"/>
              </w:rPr>
              <w:t xml:space="preserve">Please provide a short summary that illustrates </w:t>
            </w:r>
            <w:r>
              <w:rPr>
                <w:rFonts w:cs="Arial"/>
                <w:b/>
                <w:bCs/>
                <w:color w:val="FFFFFF" w:themeColor="background1"/>
              </w:rPr>
              <w:t>what this workstream is aiming to achieve</w:t>
            </w:r>
            <w:r w:rsidRPr="007A2734">
              <w:rPr>
                <w:rFonts w:cs="Arial"/>
                <w:b/>
                <w:bCs/>
                <w:color w:val="FFFFFF" w:themeColor="background1"/>
                <w:kern w:val="0"/>
                <w14:ligatures w14:val="none"/>
              </w:rPr>
              <w:t>.</w:t>
            </w:r>
          </w:p>
        </w:tc>
      </w:tr>
      <w:tr w:rsidR="004D61CA" w14:paraId="4BFE599B" w14:textId="77777777" w:rsidTr="001039A9">
        <w:trPr>
          <w:trHeight w:val="300"/>
        </w:trPr>
        <w:tc>
          <w:tcPr>
            <w:tcW w:w="8930" w:type="dxa"/>
          </w:tcPr>
          <w:p w14:paraId="652FD420" w14:textId="00A5DBF5" w:rsidR="007D7A08" w:rsidRDefault="007D7A08" w:rsidP="001039A9">
            <w:pPr>
              <w:rPr>
                <w:rFonts w:cs="Arial"/>
                <w:color w:val="000000" w:themeColor="text1"/>
              </w:rPr>
            </w:pPr>
            <w:r w:rsidRPr="7237BB58">
              <w:rPr>
                <w:rFonts w:cs="Arial"/>
                <w:color w:val="000000" w:themeColor="text1"/>
              </w:rPr>
              <w:t>Building on current collaborative working between Falkirk Council, Clackmannanshire Council and multi-agency partners this project will explore the feasibility of a fully integrated service for Resilience and Emergency Planning between Falkirk Council and Clackmannanshire Council.</w:t>
            </w:r>
          </w:p>
          <w:p w14:paraId="2DFB5B3C" w14:textId="77777777" w:rsidR="001039A9" w:rsidRDefault="001039A9" w:rsidP="001039A9">
            <w:pPr>
              <w:rPr>
                <w:rFonts w:cs="Arial"/>
                <w:color w:val="000000" w:themeColor="text1"/>
              </w:rPr>
            </w:pPr>
          </w:p>
          <w:p w14:paraId="6C26CE21" w14:textId="4D433F97" w:rsidR="007D7A08" w:rsidRDefault="03159F82" w:rsidP="001039A9">
            <w:pPr>
              <w:spacing w:line="300" w:lineRule="atLeast"/>
              <w:rPr>
                <w:rFonts w:eastAsia="Times New Roman" w:cs="Arial"/>
                <w:kern w:val="0"/>
                <w:lang w:eastAsia="en-GB"/>
                <w14:ligatures w14:val="none"/>
              </w:rPr>
            </w:pPr>
            <w:r>
              <w:rPr>
                <w:rFonts w:eastAsia="Times New Roman" w:cs="Arial"/>
                <w:kern w:val="0"/>
                <w:lang w:eastAsia="en-GB"/>
                <w14:ligatures w14:val="none"/>
              </w:rPr>
              <w:t>Both</w:t>
            </w:r>
            <w:r w:rsidR="79A89F5B" w:rsidRPr="009F12DA">
              <w:rPr>
                <w:rFonts w:eastAsia="Times New Roman" w:cs="Arial"/>
                <w:kern w:val="0"/>
                <w:lang w:eastAsia="en-GB"/>
                <w14:ligatures w14:val="none"/>
              </w:rPr>
              <w:t xml:space="preserve"> Councils </w:t>
            </w:r>
            <w:r>
              <w:rPr>
                <w:rFonts w:eastAsia="Times New Roman" w:cs="Arial"/>
                <w:kern w:val="0"/>
                <w:lang w:eastAsia="en-GB"/>
                <w14:ligatures w14:val="none"/>
              </w:rPr>
              <w:t xml:space="preserve">already </w:t>
            </w:r>
            <w:r w:rsidR="79A89F5B" w:rsidRPr="009F12DA">
              <w:rPr>
                <w:rFonts w:eastAsia="Times New Roman" w:cs="Arial"/>
                <w:kern w:val="0"/>
                <w:lang w:eastAsia="en-GB"/>
                <w14:ligatures w14:val="none"/>
              </w:rPr>
              <w:t xml:space="preserve">work collaboratively on elements of </w:t>
            </w:r>
            <w:r w:rsidR="489CFFC1">
              <w:rPr>
                <w:rFonts w:eastAsia="Times New Roman" w:cs="Arial"/>
                <w:kern w:val="0"/>
                <w:lang w:eastAsia="en-GB"/>
                <w14:ligatures w14:val="none"/>
              </w:rPr>
              <w:t xml:space="preserve">civil contingencies delivery, </w:t>
            </w:r>
            <w:r w:rsidR="79A89F5B" w:rsidRPr="009F12DA">
              <w:rPr>
                <w:rFonts w:eastAsia="Times New Roman" w:cs="Arial"/>
                <w:kern w:val="0"/>
                <w:lang w:eastAsia="en-GB"/>
                <w14:ligatures w14:val="none"/>
              </w:rPr>
              <w:t xml:space="preserve">resilience planning functions and mutual aid arrangements </w:t>
            </w:r>
            <w:r w:rsidR="1D1CA53D" w:rsidRPr="009F12DA">
              <w:rPr>
                <w:rFonts w:eastAsia="Times New Roman" w:cs="Arial"/>
                <w:kern w:val="0"/>
                <w:lang w:eastAsia="en-GB"/>
                <w14:ligatures w14:val="none"/>
              </w:rPr>
              <w:t>exist</w:t>
            </w:r>
            <w:r w:rsidR="35F26C54" w:rsidRPr="009F12DA">
              <w:rPr>
                <w:rFonts w:eastAsia="Times New Roman" w:cs="Arial"/>
                <w:kern w:val="0"/>
                <w:lang w:eastAsia="en-GB"/>
                <w14:ligatures w14:val="none"/>
              </w:rPr>
              <w:t>. H</w:t>
            </w:r>
            <w:r w:rsidR="4AEEB7A6">
              <w:rPr>
                <w:rFonts w:eastAsia="Times New Roman" w:cs="Arial"/>
                <w:kern w:val="0"/>
                <w:lang w:eastAsia="en-GB"/>
                <w14:ligatures w14:val="none"/>
              </w:rPr>
              <w:t>owever,</w:t>
            </w:r>
            <w:r w:rsidR="4AEEB7A6" w:rsidRPr="009F12DA">
              <w:rPr>
                <w:rFonts w:eastAsia="Times New Roman" w:cs="Arial"/>
                <w:kern w:val="0"/>
                <w:lang w:eastAsia="en-GB"/>
                <w14:ligatures w14:val="none"/>
              </w:rPr>
              <w:t xml:space="preserve"> this</w:t>
            </w:r>
            <w:r w:rsidR="79A89F5B" w:rsidRPr="009F12DA">
              <w:rPr>
                <w:rFonts w:eastAsia="Times New Roman" w:cs="Arial"/>
                <w:kern w:val="0"/>
                <w:lang w:eastAsia="en-GB"/>
                <w14:ligatures w14:val="none"/>
              </w:rPr>
              <w:t xml:space="preserve"> cooperation is informal and does not maximise the potential benefits of a shared or integrated approach.</w:t>
            </w:r>
          </w:p>
          <w:p w14:paraId="3F2C280C" w14:textId="77777777" w:rsidR="001039A9" w:rsidRPr="009F12DA" w:rsidRDefault="001039A9" w:rsidP="001039A9">
            <w:pPr>
              <w:spacing w:line="300" w:lineRule="atLeast"/>
              <w:rPr>
                <w:rFonts w:eastAsia="Times New Roman" w:cs="Arial"/>
                <w:kern w:val="0"/>
                <w:lang w:eastAsia="en-GB"/>
                <w14:ligatures w14:val="none"/>
              </w:rPr>
            </w:pPr>
          </w:p>
          <w:p w14:paraId="27BEC6D8" w14:textId="5D45BF2F" w:rsidR="007D7A08" w:rsidRDefault="007D7A08" w:rsidP="001039A9">
            <w:pPr>
              <w:spacing w:line="300" w:lineRule="atLeast"/>
              <w:rPr>
                <w:rFonts w:eastAsia="Times New Roman" w:cs="Arial"/>
                <w:kern w:val="0"/>
                <w:lang w:eastAsia="en-GB"/>
                <w14:ligatures w14:val="none"/>
              </w:rPr>
            </w:pPr>
            <w:r w:rsidRPr="009F12DA">
              <w:rPr>
                <w:rFonts w:eastAsia="Times New Roman" w:cs="Arial"/>
                <w:kern w:val="0"/>
                <w:lang w:eastAsia="en-GB"/>
                <w14:ligatures w14:val="none"/>
              </w:rPr>
              <w:t>Both Councils current operating models face several limitations:</w:t>
            </w:r>
          </w:p>
          <w:p w14:paraId="33070789" w14:textId="77777777" w:rsidR="001039A9" w:rsidRDefault="001039A9" w:rsidP="001039A9">
            <w:pPr>
              <w:spacing w:line="300" w:lineRule="atLeast"/>
              <w:rPr>
                <w:rFonts w:eastAsia="Times New Roman" w:cs="Arial"/>
                <w:kern w:val="0"/>
                <w:lang w:eastAsia="en-GB"/>
                <w14:ligatures w14:val="none"/>
              </w:rPr>
            </w:pPr>
          </w:p>
          <w:p w14:paraId="5A7EECCF" w14:textId="77777777" w:rsidR="001039A9" w:rsidRDefault="00DA284E" w:rsidP="001039A9">
            <w:pPr>
              <w:pStyle w:val="ListParagraph"/>
              <w:numPr>
                <w:ilvl w:val="0"/>
                <w:numId w:val="24"/>
              </w:numPr>
              <w:spacing w:line="300" w:lineRule="atLeast"/>
              <w:rPr>
                <w:rFonts w:eastAsia="Times New Roman" w:cs="Arial"/>
                <w:kern w:val="0"/>
                <w:lang w:eastAsia="en-GB"/>
                <w14:ligatures w14:val="none"/>
              </w:rPr>
            </w:pPr>
            <w:r w:rsidRPr="001039A9">
              <w:rPr>
                <w:rFonts w:eastAsia="Times New Roman" w:cs="Arial"/>
                <w:kern w:val="0"/>
                <w:lang w:eastAsia="en-GB"/>
                <w14:ligatures w14:val="none"/>
              </w:rPr>
              <w:t>Small teams with i</w:t>
            </w:r>
            <w:r w:rsidR="007D7A08" w:rsidRPr="001039A9">
              <w:rPr>
                <w:rFonts w:eastAsia="Times New Roman" w:cs="Arial"/>
                <w:kern w:val="0"/>
                <w:lang w:eastAsia="en-GB"/>
                <w14:ligatures w14:val="none"/>
              </w:rPr>
              <w:t>nsufficient capacity to deliver standardised and resilient emergency planning and response functions.</w:t>
            </w:r>
          </w:p>
          <w:p w14:paraId="3351B32B" w14:textId="77777777" w:rsidR="001039A9" w:rsidRDefault="007D7A08" w:rsidP="001039A9">
            <w:pPr>
              <w:pStyle w:val="ListParagraph"/>
              <w:numPr>
                <w:ilvl w:val="0"/>
                <w:numId w:val="24"/>
              </w:numPr>
              <w:spacing w:line="300" w:lineRule="atLeast"/>
              <w:rPr>
                <w:rFonts w:eastAsia="Times New Roman" w:cs="Arial"/>
                <w:kern w:val="0"/>
                <w:lang w:eastAsia="en-GB"/>
                <w14:ligatures w14:val="none"/>
              </w:rPr>
            </w:pPr>
            <w:r w:rsidRPr="001039A9">
              <w:rPr>
                <w:rFonts w:eastAsia="Times New Roman" w:cs="Arial"/>
                <w:kern w:val="0"/>
                <w:lang w:eastAsia="en-GB"/>
                <w14:ligatures w14:val="none"/>
              </w:rPr>
              <w:t>Challenges in maintaining 24/7 readiness.</w:t>
            </w:r>
          </w:p>
          <w:p w14:paraId="5AEB2B06" w14:textId="77777777" w:rsidR="001039A9" w:rsidRDefault="00DA284E" w:rsidP="001039A9">
            <w:pPr>
              <w:pStyle w:val="ListParagraph"/>
              <w:numPr>
                <w:ilvl w:val="0"/>
                <w:numId w:val="24"/>
              </w:numPr>
              <w:spacing w:line="300" w:lineRule="atLeast"/>
              <w:rPr>
                <w:rFonts w:eastAsia="Times New Roman" w:cs="Arial"/>
                <w:kern w:val="0"/>
                <w:lang w:eastAsia="en-GB"/>
                <w14:ligatures w14:val="none"/>
              </w:rPr>
            </w:pPr>
            <w:r w:rsidRPr="001039A9">
              <w:rPr>
                <w:rFonts w:eastAsia="Times New Roman" w:cs="Arial"/>
                <w:kern w:val="0"/>
                <w:lang w:eastAsia="en-GB"/>
                <w14:ligatures w14:val="none"/>
              </w:rPr>
              <w:t xml:space="preserve">Challenges in </w:t>
            </w:r>
            <w:r w:rsidR="00416963" w:rsidRPr="001039A9">
              <w:rPr>
                <w:rFonts w:eastAsia="Times New Roman" w:cs="Arial"/>
                <w:kern w:val="0"/>
                <w:lang w:eastAsia="en-GB"/>
                <w14:ligatures w14:val="none"/>
              </w:rPr>
              <w:t xml:space="preserve">ensuring sustainability of </w:t>
            </w:r>
            <w:r w:rsidRPr="001039A9">
              <w:rPr>
                <w:rFonts w:eastAsia="Times New Roman" w:cs="Arial"/>
                <w:kern w:val="0"/>
                <w:lang w:eastAsia="en-GB"/>
                <w14:ligatures w14:val="none"/>
              </w:rPr>
              <w:t xml:space="preserve">emergency planning and resilience </w:t>
            </w:r>
            <w:r w:rsidR="00416963" w:rsidRPr="001039A9">
              <w:rPr>
                <w:rFonts w:eastAsia="Times New Roman" w:cs="Arial"/>
                <w:kern w:val="0"/>
                <w:lang w:eastAsia="en-GB"/>
                <w14:ligatures w14:val="none"/>
              </w:rPr>
              <w:t>within the context of emerging risks and developments.</w:t>
            </w:r>
          </w:p>
          <w:p w14:paraId="44FD68FA" w14:textId="77777777" w:rsidR="001039A9" w:rsidRDefault="007D7A08" w:rsidP="001039A9">
            <w:pPr>
              <w:pStyle w:val="ListParagraph"/>
              <w:numPr>
                <w:ilvl w:val="0"/>
                <w:numId w:val="24"/>
              </w:numPr>
              <w:spacing w:line="300" w:lineRule="atLeast"/>
              <w:rPr>
                <w:rFonts w:eastAsia="Times New Roman" w:cs="Arial"/>
                <w:kern w:val="0"/>
                <w:lang w:eastAsia="en-GB"/>
                <w14:ligatures w14:val="none"/>
              </w:rPr>
            </w:pPr>
            <w:r w:rsidRPr="001039A9">
              <w:rPr>
                <w:rFonts w:eastAsia="Times New Roman" w:cs="Arial"/>
                <w:kern w:val="0"/>
                <w:lang w:eastAsia="en-GB"/>
                <w14:ligatures w14:val="none"/>
              </w:rPr>
              <w:t>Duplication of effort and expenditure.</w:t>
            </w:r>
          </w:p>
          <w:p w14:paraId="0F9609DA" w14:textId="2C549C50" w:rsidR="50F3B524" w:rsidRPr="001039A9" w:rsidRDefault="79A89F5B" w:rsidP="001039A9">
            <w:pPr>
              <w:pStyle w:val="ListParagraph"/>
              <w:numPr>
                <w:ilvl w:val="0"/>
                <w:numId w:val="24"/>
              </w:numPr>
              <w:spacing w:line="300" w:lineRule="atLeast"/>
              <w:rPr>
                <w:rFonts w:eastAsia="Times New Roman" w:cs="Arial"/>
                <w:kern w:val="0"/>
                <w:lang w:eastAsia="en-GB"/>
                <w14:ligatures w14:val="none"/>
              </w:rPr>
            </w:pPr>
            <w:r w:rsidRPr="001039A9">
              <w:rPr>
                <w:rFonts w:eastAsia="Times New Roman" w:cs="Arial"/>
                <w:kern w:val="0"/>
                <w:lang w:eastAsia="en-GB"/>
                <w14:ligatures w14:val="none"/>
              </w:rPr>
              <w:t>Fragmented</w:t>
            </w:r>
            <w:r w:rsidR="40252E53" w:rsidRPr="001039A9">
              <w:rPr>
                <w:rFonts w:eastAsia="Times New Roman" w:cs="Arial"/>
                <w:kern w:val="0"/>
                <w:lang w:eastAsia="en-GB"/>
                <w14:ligatures w14:val="none"/>
              </w:rPr>
              <w:t xml:space="preserve"> and sub-optimal</w:t>
            </w:r>
            <w:r w:rsidRPr="001039A9">
              <w:rPr>
                <w:rFonts w:eastAsia="Times New Roman" w:cs="Arial"/>
                <w:kern w:val="0"/>
                <w:lang w:eastAsia="en-GB"/>
                <w14:ligatures w14:val="none"/>
              </w:rPr>
              <w:t xml:space="preserve"> approaches to planning, exercising, and training.</w:t>
            </w:r>
          </w:p>
          <w:p w14:paraId="4CB2C113" w14:textId="77777777" w:rsidR="001039A9" w:rsidRDefault="001039A9" w:rsidP="001039A9">
            <w:pPr>
              <w:rPr>
                <w:rFonts w:cs="Arial"/>
              </w:rPr>
            </w:pPr>
          </w:p>
          <w:p w14:paraId="0CDA7FEB" w14:textId="48B11656" w:rsidR="007D7A08" w:rsidRPr="009F12DA" w:rsidRDefault="00C5370E" w:rsidP="001039A9">
            <w:pPr>
              <w:rPr>
                <w:rFonts w:cs="Arial"/>
              </w:rPr>
            </w:pPr>
            <w:r>
              <w:rPr>
                <w:rFonts w:cs="Arial"/>
              </w:rPr>
              <w:t>A</w:t>
            </w:r>
            <w:r w:rsidRPr="009F12DA">
              <w:rPr>
                <w:rFonts w:cs="Arial"/>
              </w:rPr>
              <w:t xml:space="preserve">n </w:t>
            </w:r>
            <w:r w:rsidR="007D7A08" w:rsidRPr="009F12DA">
              <w:rPr>
                <w:rFonts w:cs="Arial"/>
              </w:rPr>
              <w:t>integrated service model will be reviewed as part of the mapping</w:t>
            </w:r>
            <w:r>
              <w:rPr>
                <w:rFonts w:cs="Arial"/>
              </w:rPr>
              <w:t>.</w:t>
            </w:r>
            <w:r w:rsidR="007D7A08" w:rsidRPr="009F12DA">
              <w:rPr>
                <w:rFonts w:cs="Arial"/>
              </w:rPr>
              <w:t xml:space="preserve"> </w:t>
            </w:r>
            <w:r>
              <w:rPr>
                <w:rFonts w:cs="Arial"/>
              </w:rPr>
              <w:t>B</w:t>
            </w:r>
            <w:r w:rsidRPr="009F12DA">
              <w:rPr>
                <w:rFonts w:cs="Arial"/>
              </w:rPr>
              <w:t xml:space="preserve">ased </w:t>
            </w:r>
            <w:r w:rsidR="007D7A08" w:rsidRPr="009F12DA">
              <w:rPr>
                <w:rFonts w:cs="Arial"/>
              </w:rPr>
              <w:t>on similar models</w:t>
            </w:r>
            <w:r w:rsidR="00045105" w:rsidRPr="009F12DA">
              <w:rPr>
                <w:rFonts w:cs="Arial"/>
              </w:rPr>
              <w:t xml:space="preserve"> elsewhere in Scotland,</w:t>
            </w:r>
            <w:r w:rsidR="007D7A08" w:rsidRPr="009F12DA">
              <w:rPr>
                <w:rFonts w:cs="Arial"/>
              </w:rPr>
              <w:t xml:space="preserve"> initial considerations highlight </w:t>
            </w:r>
            <w:r w:rsidR="0039331E" w:rsidRPr="009F12DA">
              <w:rPr>
                <w:rFonts w:cs="Arial"/>
              </w:rPr>
              <w:t>several</w:t>
            </w:r>
            <w:r w:rsidR="00045105" w:rsidRPr="009F12DA">
              <w:rPr>
                <w:rFonts w:cs="Arial"/>
              </w:rPr>
              <w:t xml:space="preserve"> potential </w:t>
            </w:r>
            <w:r w:rsidR="007D7A08" w:rsidRPr="009F12DA">
              <w:rPr>
                <w:rFonts w:cs="Arial"/>
              </w:rPr>
              <w:t>benefits:</w:t>
            </w:r>
          </w:p>
          <w:p w14:paraId="356A077B" w14:textId="77777777" w:rsidR="007D7A08" w:rsidRPr="009F12DA" w:rsidRDefault="007D7A08" w:rsidP="001039A9">
            <w:pPr>
              <w:rPr>
                <w:rFonts w:cs="Arial"/>
              </w:rPr>
            </w:pPr>
          </w:p>
          <w:p w14:paraId="3FADBA7F" w14:textId="381B4667" w:rsidR="007D7A08" w:rsidRPr="009F12DA" w:rsidRDefault="6A6915C9" w:rsidP="001039A9">
            <w:pPr>
              <w:pStyle w:val="ListParagraph"/>
              <w:numPr>
                <w:ilvl w:val="0"/>
                <w:numId w:val="15"/>
              </w:numPr>
              <w:rPr>
                <w:rFonts w:cs="Arial"/>
              </w:rPr>
            </w:pPr>
            <w:r w:rsidRPr="009F12DA">
              <w:rPr>
                <w:rFonts w:eastAsia="Times New Roman" w:cs="Arial"/>
                <w:kern w:val="0"/>
                <w:lang w:eastAsia="en-GB"/>
                <w14:ligatures w14:val="none"/>
              </w:rPr>
              <w:t>P</w:t>
            </w:r>
            <w:r w:rsidR="007D7A08" w:rsidRPr="009F12DA">
              <w:rPr>
                <w:rFonts w:eastAsia="Times New Roman" w:cs="Arial"/>
                <w:kern w:val="0"/>
                <w:lang w:eastAsia="en-GB"/>
                <w14:ligatures w14:val="none"/>
              </w:rPr>
              <w:t>ooling of resources enabling sustainable 24/7 response arrangements and minimising single points of failure.</w:t>
            </w:r>
          </w:p>
          <w:p w14:paraId="06D8788D" w14:textId="77777777" w:rsidR="007D7A08" w:rsidRPr="009F12DA" w:rsidRDefault="007D7A08" w:rsidP="001039A9">
            <w:pPr>
              <w:pStyle w:val="ListParagraph"/>
              <w:numPr>
                <w:ilvl w:val="0"/>
                <w:numId w:val="15"/>
              </w:numPr>
              <w:shd w:val="clear" w:color="auto" w:fill="FFFFFF"/>
              <w:rPr>
                <w:rFonts w:eastAsia="Times New Roman" w:cs="Arial"/>
                <w:color w:val="333333"/>
                <w:kern w:val="0"/>
                <w:lang w:eastAsia="en-GB"/>
                <w14:ligatures w14:val="none"/>
              </w:rPr>
            </w:pPr>
            <w:r w:rsidRPr="009F12DA">
              <w:rPr>
                <w:rFonts w:eastAsia="Times New Roman" w:cs="Arial"/>
                <w:color w:val="333333"/>
                <w:kern w:val="0"/>
                <w:lang w:eastAsia="en-GB"/>
                <w14:ligatures w14:val="none"/>
              </w:rPr>
              <w:t>Greater resilience in the response to complex, concurrent, cross-boundary and/or prolonged emergencies.</w:t>
            </w:r>
          </w:p>
          <w:p w14:paraId="3995679B" w14:textId="6480549F" w:rsidR="007D7A08" w:rsidRPr="009F12DA" w:rsidRDefault="007D7A08" w:rsidP="001039A9">
            <w:pPr>
              <w:pStyle w:val="ListParagraph"/>
              <w:numPr>
                <w:ilvl w:val="0"/>
                <w:numId w:val="15"/>
              </w:numPr>
              <w:rPr>
                <w:rFonts w:eastAsia="Times New Roman" w:cs="Arial"/>
                <w:kern w:val="0"/>
                <w:lang w:eastAsia="en-GB"/>
                <w14:ligatures w14:val="none"/>
              </w:rPr>
            </w:pPr>
            <w:r w:rsidRPr="009F12DA">
              <w:rPr>
                <w:rFonts w:eastAsia="Times New Roman" w:cs="Arial"/>
                <w:kern w:val="0"/>
                <w:lang w:eastAsia="en-GB"/>
                <w14:ligatures w14:val="none"/>
              </w:rPr>
              <w:lastRenderedPageBreak/>
              <w:t>Enhanced resilience and capacity, with consistent and improved training, exercising, and organisational development reducing duplication of effort</w:t>
            </w:r>
            <w:r w:rsidR="00416963">
              <w:rPr>
                <w:rFonts w:eastAsia="Times New Roman" w:cs="Arial"/>
                <w:kern w:val="0"/>
                <w:lang w:eastAsia="en-GB"/>
                <w14:ligatures w14:val="none"/>
              </w:rPr>
              <w:t>.</w:t>
            </w:r>
          </w:p>
          <w:p w14:paraId="33B4697F" w14:textId="77777777" w:rsidR="007D7A08" w:rsidRPr="009F12DA" w:rsidRDefault="007D7A08" w:rsidP="001039A9">
            <w:pPr>
              <w:pStyle w:val="ListParagraph"/>
              <w:numPr>
                <w:ilvl w:val="0"/>
                <w:numId w:val="15"/>
              </w:numPr>
              <w:rPr>
                <w:rFonts w:eastAsia="Times New Roman" w:cs="Arial"/>
                <w:kern w:val="0"/>
                <w:lang w:eastAsia="en-GB"/>
                <w14:ligatures w14:val="none"/>
              </w:rPr>
            </w:pPr>
            <w:r w:rsidRPr="009F12DA">
              <w:rPr>
                <w:rFonts w:eastAsia="Times New Roman" w:cs="Arial"/>
                <w:kern w:val="0"/>
                <w:lang w:eastAsia="en-GB"/>
                <w14:ligatures w14:val="none"/>
              </w:rPr>
              <w:t>Better support for communities, businesses, and voluntary organisations through shared advice, resources, and community resilience initiatives.</w:t>
            </w:r>
          </w:p>
          <w:p w14:paraId="2B3FEBDA" w14:textId="77777777" w:rsidR="007D7A08" w:rsidRPr="009F12DA" w:rsidRDefault="007D7A08" w:rsidP="001039A9">
            <w:pPr>
              <w:pStyle w:val="ListParagraph"/>
              <w:numPr>
                <w:ilvl w:val="0"/>
                <w:numId w:val="15"/>
              </w:numPr>
              <w:rPr>
                <w:rFonts w:eastAsia="Times New Roman" w:cs="Arial"/>
                <w:kern w:val="0"/>
                <w:lang w:eastAsia="en-GB"/>
                <w14:ligatures w14:val="none"/>
              </w:rPr>
            </w:pPr>
            <w:r w:rsidRPr="009F12DA">
              <w:rPr>
                <w:rFonts w:eastAsia="Times New Roman" w:cs="Arial"/>
                <w:kern w:val="0"/>
                <w:lang w:eastAsia="en-GB"/>
                <w14:ligatures w14:val="none"/>
              </w:rPr>
              <w:t>Increased capability to respond to evolving risks, including counter</w:t>
            </w:r>
            <w:r w:rsidRPr="009F12DA">
              <w:rPr>
                <w:rFonts w:eastAsia="Times New Roman" w:cs="Arial"/>
                <w:kern w:val="0"/>
                <w:lang w:eastAsia="en-GB"/>
                <w14:ligatures w14:val="none"/>
              </w:rPr>
              <w:noBreakHyphen/>
              <w:t>terrorism, cyber threats, and COMAH site management.</w:t>
            </w:r>
          </w:p>
          <w:p w14:paraId="4E47E54F" w14:textId="0E36C115" w:rsidR="007D7A08" w:rsidRPr="009F12DA" w:rsidRDefault="007D7A08" w:rsidP="001039A9">
            <w:pPr>
              <w:pStyle w:val="ListParagraph"/>
              <w:numPr>
                <w:ilvl w:val="0"/>
                <w:numId w:val="15"/>
              </w:numPr>
              <w:shd w:val="clear" w:color="auto" w:fill="FFFFFF"/>
              <w:rPr>
                <w:rFonts w:eastAsia="Times New Roman" w:cs="Arial"/>
                <w:color w:val="333333"/>
                <w:kern w:val="0"/>
                <w:lang w:eastAsia="en-GB"/>
                <w14:ligatures w14:val="none"/>
              </w:rPr>
            </w:pPr>
            <w:r w:rsidRPr="009F12DA">
              <w:rPr>
                <w:rFonts w:eastAsia="Times New Roman" w:cs="Arial"/>
                <w:color w:val="333333"/>
                <w:kern w:val="0"/>
                <w:lang w:eastAsia="en-GB"/>
                <w14:ligatures w14:val="none"/>
              </w:rPr>
              <w:t xml:space="preserve">Increasing capacity for future specialisation and staff </w:t>
            </w:r>
            <w:r w:rsidR="00D00A14" w:rsidRPr="009F12DA">
              <w:rPr>
                <w:rFonts w:eastAsia="Times New Roman" w:cs="Arial"/>
                <w:color w:val="333333"/>
                <w:kern w:val="0"/>
                <w:lang w:eastAsia="en-GB"/>
                <w14:ligatures w14:val="none"/>
              </w:rPr>
              <w:t>development and</w:t>
            </w:r>
            <w:r w:rsidRPr="009F12DA">
              <w:rPr>
                <w:rFonts w:eastAsia="Times New Roman" w:cs="Arial"/>
                <w:color w:val="333333"/>
                <w:kern w:val="0"/>
                <w:lang w:eastAsia="en-GB"/>
                <w14:ligatures w14:val="none"/>
              </w:rPr>
              <w:t xml:space="preserve"> making best use of specialised skills. </w:t>
            </w:r>
          </w:p>
          <w:p w14:paraId="3734DCBE" w14:textId="77777777" w:rsidR="007D7A08" w:rsidRPr="009F12DA" w:rsidRDefault="007D7A08" w:rsidP="001039A9">
            <w:pPr>
              <w:rPr>
                <w:rFonts w:cs="Arial"/>
              </w:rPr>
            </w:pPr>
          </w:p>
          <w:p w14:paraId="107AAE8E" w14:textId="065AD251" w:rsidR="00FF3E6C" w:rsidRPr="009F12DA" w:rsidRDefault="00045105" w:rsidP="001039A9">
            <w:pPr>
              <w:shd w:val="clear" w:color="auto" w:fill="FFFFFF"/>
              <w:rPr>
                <w:rFonts w:eastAsia="Times New Roman" w:cs="Arial"/>
                <w:color w:val="000000" w:themeColor="text1"/>
                <w:kern w:val="0"/>
                <w:lang w:eastAsia="en-GB"/>
                <w14:ligatures w14:val="none"/>
              </w:rPr>
            </w:pPr>
            <w:r w:rsidRPr="009F12DA">
              <w:rPr>
                <w:rFonts w:cs="Arial"/>
                <w:color w:val="000000" w:themeColor="text1"/>
              </w:rPr>
              <w:t xml:space="preserve">The discovery phase of this project will consider the amalgamation of all </w:t>
            </w:r>
            <w:r w:rsidR="00D00A14" w:rsidRPr="009F12DA">
              <w:rPr>
                <w:rFonts w:cs="Arial"/>
                <w:color w:val="000000" w:themeColor="text1"/>
              </w:rPr>
              <w:t xml:space="preserve">statutory Civil Contingencies </w:t>
            </w:r>
            <w:r w:rsidRPr="009F12DA">
              <w:rPr>
                <w:rFonts w:cs="Arial"/>
                <w:color w:val="000000" w:themeColor="text1"/>
              </w:rPr>
              <w:t xml:space="preserve">duties and functions and explore the option of a shared contact centre </w:t>
            </w:r>
            <w:r w:rsidRPr="009F12DA">
              <w:rPr>
                <w:rFonts w:eastAsia="Times New Roman" w:cs="Arial"/>
                <w:color w:val="000000" w:themeColor="text1"/>
                <w:kern w:val="0"/>
                <w:lang w:eastAsia="en-GB"/>
                <w14:ligatures w14:val="none"/>
              </w:rPr>
              <w:t xml:space="preserve">to </w:t>
            </w:r>
            <w:r w:rsidR="00D00A14" w:rsidRPr="009F12DA">
              <w:rPr>
                <w:rFonts w:eastAsia="Times New Roman" w:cs="Arial"/>
                <w:color w:val="000000" w:themeColor="text1"/>
                <w:kern w:val="0"/>
                <w:lang w:eastAsia="en-GB"/>
                <w14:ligatures w14:val="none"/>
              </w:rPr>
              <w:t>enhance</w:t>
            </w:r>
            <w:r w:rsidRPr="009F12DA">
              <w:rPr>
                <w:rFonts w:eastAsia="Times New Roman" w:cs="Arial"/>
                <w:color w:val="000000" w:themeColor="text1"/>
                <w:kern w:val="0"/>
                <w:lang w:eastAsia="en-GB"/>
                <w14:ligatures w14:val="none"/>
              </w:rPr>
              <w:t xml:space="preserve"> response</w:t>
            </w:r>
            <w:r w:rsidR="00D00A14" w:rsidRPr="009F12DA">
              <w:rPr>
                <w:rFonts w:eastAsia="Times New Roman" w:cs="Arial"/>
                <w:color w:val="000000" w:themeColor="text1"/>
                <w:kern w:val="0"/>
                <w:lang w:eastAsia="en-GB"/>
                <w14:ligatures w14:val="none"/>
              </w:rPr>
              <w:t xml:space="preserve"> arrangements</w:t>
            </w:r>
            <w:r w:rsidRPr="009F12DA">
              <w:rPr>
                <w:rFonts w:eastAsia="Times New Roman" w:cs="Arial"/>
                <w:color w:val="000000" w:themeColor="text1"/>
                <w:kern w:val="0"/>
                <w:lang w:eastAsia="en-GB"/>
                <w14:ligatures w14:val="none"/>
              </w:rPr>
              <w:t xml:space="preserve"> on behalf of either of the affected Councils.</w:t>
            </w:r>
          </w:p>
          <w:p w14:paraId="7F611F65" w14:textId="77777777" w:rsidR="00FF3E6C" w:rsidRDefault="00FF3E6C" w:rsidP="001039A9">
            <w:pPr>
              <w:rPr>
                <w:u w:val="single"/>
                <w:lang w:val="en-US"/>
              </w:rPr>
            </w:pPr>
          </w:p>
        </w:tc>
      </w:tr>
    </w:tbl>
    <w:p w14:paraId="02ECFFFF" w14:textId="19B2DDED" w:rsidR="004D61CA" w:rsidRDefault="004D61CA" w:rsidP="007E708B">
      <w:pPr>
        <w:rPr>
          <w:b/>
          <w:lang w:val="en-US"/>
        </w:rPr>
      </w:pPr>
    </w:p>
    <w:p w14:paraId="75C7F174" w14:textId="77777777" w:rsidR="00CF0763" w:rsidRDefault="00CF0763" w:rsidP="007E708B">
      <w:pPr>
        <w:rPr>
          <w:b/>
          <w:lang w:val="en-US"/>
        </w:rPr>
      </w:pPr>
    </w:p>
    <w:p w14:paraId="5AD35093" w14:textId="5B4B8F4D" w:rsidR="007E708B" w:rsidRDefault="007E708B" w:rsidP="00486767">
      <w:pPr>
        <w:tabs>
          <w:tab w:val="left" w:pos="709"/>
        </w:tabs>
        <w:rPr>
          <w:b/>
          <w:lang w:val="en-US"/>
        </w:rPr>
      </w:pPr>
      <w:r w:rsidRPr="007E708B">
        <w:rPr>
          <w:b/>
          <w:lang w:val="en-US"/>
        </w:rPr>
        <w:t>2.</w:t>
      </w:r>
      <w:r w:rsidR="00CF0763">
        <w:rPr>
          <w:b/>
          <w:lang w:val="en-US"/>
        </w:rPr>
        <w:tab/>
      </w:r>
      <w:r w:rsidRPr="007E708B">
        <w:rPr>
          <w:b/>
          <w:lang w:val="en-US"/>
        </w:rPr>
        <w:t>Objectives</w:t>
      </w:r>
    </w:p>
    <w:p w14:paraId="6791E0C9" w14:textId="77777777" w:rsidR="00CF0763" w:rsidRPr="007E708B" w:rsidRDefault="00CF0763" w:rsidP="00CF0763">
      <w:pPr>
        <w:rPr>
          <w:lang w:val="en-US"/>
        </w:rPr>
      </w:pPr>
    </w:p>
    <w:p w14:paraId="77C6EC85" w14:textId="3E360527" w:rsidR="007E708B" w:rsidRDefault="3B62F17F" w:rsidP="00D02E3F">
      <w:pPr>
        <w:ind w:left="709" w:firstLine="11"/>
        <w:rPr>
          <w:lang w:val="en-US"/>
        </w:rPr>
      </w:pPr>
      <w:r w:rsidRPr="3B62F17F">
        <w:rPr>
          <w:lang w:val="en-US"/>
        </w:rPr>
        <w:t>The following sets out the key objectives of this work in relation to the above summary:</w:t>
      </w:r>
    </w:p>
    <w:p w14:paraId="3225AE23" w14:textId="77777777" w:rsidR="001039A9" w:rsidRDefault="001039A9" w:rsidP="00D02E3F">
      <w:pPr>
        <w:ind w:left="709" w:firstLine="11"/>
        <w:rPr>
          <w:lang w:val="en-US"/>
        </w:rPr>
      </w:pPr>
    </w:p>
    <w:p w14:paraId="4CE7305E" w14:textId="7AA7EAFC" w:rsidR="00D00A14" w:rsidRPr="009E7658" w:rsidRDefault="7925F5D2" w:rsidP="001039A9">
      <w:pPr>
        <w:pStyle w:val="Bullet"/>
        <w:numPr>
          <w:ilvl w:val="0"/>
          <w:numId w:val="26"/>
        </w:numPr>
        <w:rPr>
          <w:lang w:val="en-US"/>
        </w:rPr>
      </w:pPr>
      <w:r w:rsidRPr="191141EE">
        <w:rPr>
          <w:lang w:val="en-US"/>
        </w:rPr>
        <w:t xml:space="preserve">Mapping </w:t>
      </w:r>
      <w:r w:rsidR="78907F56" w:rsidRPr="191141EE">
        <w:rPr>
          <w:lang w:val="en-US"/>
        </w:rPr>
        <w:t xml:space="preserve">the </w:t>
      </w:r>
      <w:r w:rsidR="180BDC96" w:rsidRPr="191141EE">
        <w:rPr>
          <w:lang w:val="en-US"/>
        </w:rPr>
        <w:t>current processes, structures and ways of doing things</w:t>
      </w:r>
      <w:r w:rsidR="78907F56" w:rsidRPr="191141EE">
        <w:rPr>
          <w:lang w:val="en-US"/>
        </w:rPr>
        <w:t xml:space="preserve"> </w:t>
      </w:r>
      <w:r w:rsidR="26015C06" w:rsidRPr="191141EE">
        <w:rPr>
          <w:lang w:val="en-US"/>
        </w:rPr>
        <w:t xml:space="preserve">for </w:t>
      </w:r>
      <w:r w:rsidRPr="191141EE">
        <w:rPr>
          <w:lang w:val="en-US"/>
        </w:rPr>
        <w:t xml:space="preserve">all functions within scope (including processes and systems involved) to assess the </w:t>
      </w:r>
      <w:r w:rsidRPr="009E7658">
        <w:rPr>
          <w:lang w:val="en-US"/>
        </w:rPr>
        <w:t>suitability for integration.</w:t>
      </w:r>
    </w:p>
    <w:p w14:paraId="1D359878" w14:textId="5393FC2D" w:rsidR="009E7658" w:rsidRPr="009E7658" w:rsidRDefault="7925F5D2" w:rsidP="009E7658">
      <w:pPr>
        <w:pStyle w:val="Bullet"/>
        <w:numPr>
          <w:ilvl w:val="0"/>
          <w:numId w:val="26"/>
        </w:numPr>
        <w:rPr>
          <w:rFonts w:eastAsia="Arial" w:cs="Arial"/>
          <w:u w:val="single"/>
          <w:lang w:val="en-US"/>
        </w:rPr>
      </w:pPr>
      <w:r w:rsidRPr="009E7658">
        <w:rPr>
          <w:lang w:val="en-US"/>
        </w:rPr>
        <w:t>Re-designing and streamlining in scope functions to enable integration.</w:t>
      </w:r>
      <w:r w:rsidR="2CDAD0A8" w:rsidRPr="009E7658">
        <w:rPr>
          <w:lang w:val="en-US"/>
        </w:rPr>
        <w:t xml:space="preserve"> </w:t>
      </w:r>
      <w:r w:rsidR="00A5122D">
        <w:rPr>
          <w:lang w:val="en-US"/>
        </w:rPr>
        <w:t xml:space="preserve"> </w:t>
      </w:r>
      <w:r w:rsidR="2CDAD0A8" w:rsidRPr="009E7658">
        <w:rPr>
          <w:lang w:val="en-US"/>
        </w:rPr>
        <w:t xml:space="preserve">While </w:t>
      </w:r>
      <w:r w:rsidR="009E7658" w:rsidRPr="009E7658">
        <w:rPr>
          <w:lang w:val="en-US"/>
        </w:rPr>
        <w:t>a</w:t>
      </w:r>
      <w:r w:rsidR="2CDAD0A8" w:rsidRPr="009E7658">
        <w:rPr>
          <w:lang w:val="en-US"/>
        </w:rPr>
        <w:t xml:space="preserve">ssessing opportunities for </w:t>
      </w:r>
      <w:proofErr w:type="gramStart"/>
      <w:r w:rsidR="009E7658" w:rsidRPr="009E7658">
        <w:rPr>
          <w:rFonts w:cs="Arial"/>
        </w:rPr>
        <w:t>colocation</w:t>
      </w:r>
      <w:proofErr w:type="gramEnd"/>
      <w:r w:rsidR="2CDAD0A8" w:rsidRPr="009E7658">
        <w:rPr>
          <w:rFonts w:cs="Arial"/>
        </w:rPr>
        <w:t xml:space="preserve">, joint procurement of equipment and shared digital solutions. </w:t>
      </w:r>
      <w:r w:rsidR="009E7658">
        <w:rPr>
          <w:rFonts w:cs="Arial"/>
        </w:rPr>
        <w:t xml:space="preserve"> </w:t>
      </w:r>
      <w:r w:rsidR="47C6F234" w:rsidRPr="009E7658">
        <w:rPr>
          <w:rFonts w:cs="Arial"/>
        </w:rPr>
        <w:t>E</w:t>
      </w:r>
      <w:r w:rsidR="4EF96116" w:rsidRPr="009E7658">
        <w:rPr>
          <w:rFonts w:cs="Arial"/>
        </w:rPr>
        <w:t>nsuring</w:t>
      </w:r>
      <w:r w:rsidR="47C6F234" w:rsidRPr="009E7658">
        <w:rPr>
          <w:rFonts w:eastAsia="Arial" w:cs="Arial"/>
          <w:lang w:val="en-US"/>
        </w:rPr>
        <w:t xml:space="preserve"> the</w:t>
      </w:r>
      <w:r w:rsidR="07874A0E" w:rsidRPr="009E7658">
        <w:rPr>
          <w:rFonts w:eastAsia="Arial" w:cs="Arial"/>
          <w:lang w:val="en-US"/>
        </w:rPr>
        <w:t xml:space="preserve"> future operating model and re-designed processes are</w:t>
      </w:r>
      <w:r w:rsidR="47C6F234" w:rsidRPr="009E7658">
        <w:rPr>
          <w:rFonts w:eastAsia="Arial" w:cs="Arial"/>
          <w:lang w:val="en-US"/>
        </w:rPr>
        <w:t xml:space="preserve"> transformational and mirrors the ambition of this </w:t>
      </w:r>
      <w:proofErr w:type="spellStart"/>
      <w:r w:rsidR="47C6F234" w:rsidRPr="009E7658">
        <w:rPr>
          <w:rFonts w:eastAsia="Arial" w:cs="Arial"/>
          <w:lang w:val="en-US"/>
        </w:rPr>
        <w:t>programme</w:t>
      </w:r>
      <w:proofErr w:type="spellEnd"/>
      <w:r w:rsidR="009E7658">
        <w:rPr>
          <w:rFonts w:eastAsia="Arial" w:cs="Arial"/>
          <w:lang w:val="en-US"/>
        </w:rPr>
        <w:t>.</w:t>
      </w:r>
    </w:p>
    <w:p w14:paraId="61952C17" w14:textId="77777777" w:rsidR="009E7658" w:rsidRDefault="7925F5D2" w:rsidP="009E7658">
      <w:pPr>
        <w:pStyle w:val="Bullet"/>
        <w:numPr>
          <w:ilvl w:val="0"/>
          <w:numId w:val="26"/>
        </w:numPr>
        <w:rPr>
          <w:rFonts w:eastAsia="Arial" w:cs="Arial"/>
          <w:u w:val="single"/>
          <w:lang w:val="en-US"/>
        </w:rPr>
      </w:pPr>
      <w:r w:rsidRPr="009E7658">
        <w:rPr>
          <w:lang w:val="en-US"/>
        </w:rPr>
        <w:t>Assessing areas for automation (where relevant and feasible) within scope functions</w:t>
      </w:r>
      <w:r w:rsidR="009E7658">
        <w:rPr>
          <w:rFonts w:eastAsia="Arial" w:cs="Arial"/>
          <w:u w:val="single"/>
          <w:lang w:val="en-US"/>
        </w:rPr>
        <w:t>.</w:t>
      </w:r>
    </w:p>
    <w:p w14:paraId="1C9374BB" w14:textId="32C94C51" w:rsidR="00D00A14" w:rsidRPr="009E7658" w:rsidRDefault="7925F5D2" w:rsidP="009E7658">
      <w:pPr>
        <w:pStyle w:val="Bullet"/>
        <w:numPr>
          <w:ilvl w:val="0"/>
          <w:numId w:val="26"/>
        </w:numPr>
        <w:rPr>
          <w:rFonts w:eastAsia="Arial" w:cs="Arial"/>
          <w:u w:val="single"/>
          <w:lang w:val="en-US"/>
        </w:rPr>
      </w:pPr>
      <w:r w:rsidRPr="009E7658">
        <w:rPr>
          <w:lang w:val="en-US"/>
        </w:rPr>
        <w:t>Establishing a future operating model – including a shared service agreement</w:t>
      </w:r>
      <w:r w:rsidR="009E7658">
        <w:rPr>
          <w:lang w:val="en-US"/>
        </w:rPr>
        <w:t>.</w:t>
      </w:r>
    </w:p>
    <w:p w14:paraId="19D649C8" w14:textId="77777777" w:rsidR="009E7658" w:rsidRDefault="7925F5D2" w:rsidP="009E7658">
      <w:pPr>
        <w:pStyle w:val="Bullet"/>
        <w:numPr>
          <w:ilvl w:val="0"/>
          <w:numId w:val="26"/>
        </w:numPr>
      </w:pPr>
      <w:r>
        <w:t>Assessing the workforce</w:t>
      </w:r>
      <w:r w:rsidR="489CFFC1">
        <w:t xml:space="preserve"> resourcing</w:t>
      </w:r>
      <w:r>
        <w:t xml:space="preserve"> of both partners and d</w:t>
      </w:r>
      <w:r w:rsidR="489CFFC1">
        <w:t xml:space="preserve">efining </w:t>
      </w:r>
      <w:r>
        <w:t xml:space="preserve">a structure for </w:t>
      </w:r>
      <w:r w:rsidR="489CFFC1">
        <w:t xml:space="preserve">an </w:t>
      </w:r>
      <w:r>
        <w:t>integrated team.</w:t>
      </w:r>
    </w:p>
    <w:p w14:paraId="00D40C39" w14:textId="61E5AA5E" w:rsidR="009E7658" w:rsidRDefault="009E7658" w:rsidP="009E7658">
      <w:pPr>
        <w:pStyle w:val="Bullet"/>
        <w:numPr>
          <w:ilvl w:val="0"/>
          <w:numId w:val="26"/>
        </w:numPr>
      </w:pPr>
      <w:r w:rsidRPr="009E7658">
        <w:rPr>
          <w:lang w:val="en-US"/>
        </w:rPr>
        <w:t>E</w:t>
      </w:r>
      <w:r w:rsidR="7925F5D2" w:rsidRPr="009E7658">
        <w:rPr>
          <w:lang w:val="en-US"/>
        </w:rPr>
        <w:t>stablish</w:t>
      </w:r>
      <w:r w:rsidR="489CFFC1" w:rsidRPr="009E7658">
        <w:rPr>
          <w:lang w:val="en-US"/>
        </w:rPr>
        <w:t>ing</w:t>
      </w:r>
      <w:r w:rsidR="7925F5D2" w:rsidRPr="009E7658">
        <w:rPr>
          <w:lang w:val="en-US"/>
        </w:rPr>
        <w:t xml:space="preserve"> a full</w:t>
      </w:r>
      <w:r w:rsidR="489CFFC1" w:rsidRPr="009E7658">
        <w:rPr>
          <w:lang w:val="en-US"/>
        </w:rPr>
        <w:t>y</w:t>
      </w:r>
      <w:r w:rsidR="7925F5D2" w:rsidRPr="009E7658">
        <w:rPr>
          <w:lang w:val="en-US"/>
        </w:rPr>
        <w:t>-cost business case</w:t>
      </w:r>
      <w:r>
        <w:rPr>
          <w:lang w:val="en-US"/>
        </w:rPr>
        <w:t>.</w:t>
      </w:r>
    </w:p>
    <w:p w14:paraId="5684C72B" w14:textId="42C5B2D0" w:rsidR="00CF0763" w:rsidRPr="009E7658" w:rsidRDefault="7925F5D2" w:rsidP="009E7658">
      <w:pPr>
        <w:pStyle w:val="Bullet"/>
        <w:numPr>
          <w:ilvl w:val="0"/>
          <w:numId w:val="26"/>
        </w:numPr>
      </w:pPr>
      <w:r>
        <w:t>Consider</w:t>
      </w:r>
      <w:r w:rsidR="489CFFC1">
        <w:t>ing</w:t>
      </w:r>
      <w:r>
        <w:t xml:space="preserve"> wider stakeholder engagement </w:t>
      </w:r>
      <w:r w:rsidR="489CFFC1">
        <w:t>requirements</w:t>
      </w:r>
      <w:r w:rsidR="009E7658">
        <w:t>.</w:t>
      </w:r>
    </w:p>
    <w:p w14:paraId="3FBCA310" w14:textId="77777777" w:rsidR="00A5122D" w:rsidRDefault="00A5122D" w:rsidP="00A5122D">
      <w:pPr>
        <w:rPr>
          <w:lang w:val="en-US"/>
        </w:rPr>
      </w:pPr>
    </w:p>
    <w:p w14:paraId="2170DFD7" w14:textId="77777777" w:rsidR="00A5122D" w:rsidRDefault="00A5122D" w:rsidP="00A5122D">
      <w:pPr>
        <w:rPr>
          <w:lang w:val="en-US"/>
        </w:rPr>
      </w:pPr>
    </w:p>
    <w:p w14:paraId="07DD84E9" w14:textId="0660B7B6" w:rsidR="007E708B" w:rsidRPr="007E708B" w:rsidRDefault="007E708B" w:rsidP="00486767">
      <w:pPr>
        <w:pStyle w:val="Heading1"/>
        <w:tabs>
          <w:tab w:val="left" w:pos="709"/>
        </w:tabs>
        <w:rPr>
          <w:lang w:val="en-US"/>
        </w:rPr>
      </w:pPr>
      <w:r w:rsidRPr="007E708B">
        <w:rPr>
          <w:lang w:val="en-US"/>
        </w:rPr>
        <w:t>3.</w:t>
      </w:r>
      <w:r w:rsidR="00CF0763">
        <w:rPr>
          <w:lang w:val="en-US"/>
        </w:rPr>
        <w:tab/>
      </w:r>
      <w:r w:rsidRPr="007E708B">
        <w:rPr>
          <w:lang w:val="en-US"/>
        </w:rPr>
        <w:t>Scope</w:t>
      </w:r>
    </w:p>
    <w:p w14:paraId="1096DB1E" w14:textId="77777777" w:rsidR="00CF0763" w:rsidRPr="008546D6" w:rsidRDefault="00CF0763" w:rsidP="007E708B">
      <w:pPr>
        <w:rPr>
          <w:lang w:val="en-US"/>
        </w:rPr>
      </w:pPr>
    </w:p>
    <w:tbl>
      <w:tblPr>
        <w:tblStyle w:val="TableGrid"/>
        <w:tblW w:w="9628" w:type="dxa"/>
        <w:tblInd w:w="704" w:type="dxa"/>
        <w:tblLook w:val="04A0" w:firstRow="1" w:lastRow="0" w:firstColumn="1" w:lastColumn="0" w:noHBand="0" w:noVBand="1"/>
      </w:tblPr>
      <w:tblGrid>
        <w:gridCol w:w="9628"/>
      </w:tblGrid>
      <w:tr w:rsidR="00855077" w:rsidRPr="008546D6" w14:paraId="268B964F" w14:textId="77777777" w:rsidTr="191141EE">
        <w:tc>
          <w:tcPr>
            <w:tcW w:w="9628" w:type="dxa"/>
            <w:shd w:val="clear" w:color="auto" w:fill="196B24" w:themeFill="accent3"/>
          </w:tcPr>
          <w:p w14:paraId="5D6C8087" w14:textId="26CE542C" w:rsidR="00855077" w:rsidRPr="008546D6" w:rsidRDefault="00855077" w:rsidP="00855077">
            <w:pPr>
              <w:spacing w:before="60" w:after="60"/>
              <w:rPr>
                <w:b/>
                <w:bCs/>
                <w:color w:val="FFFFFF" w:themeColor="background1"/>
                <w:lang w:val="en-US"/>
              </w:rPr>
            </w:pPr>
            <w:r w:rsidRPr="008546D6">
              <w:rPr>
                <w:b/>
                <w:bCs/>
                <w:color w:val="FFFFFF" w:themeColor="background1"/>
                <w:lang w:val="en-US"/>
              </w:rPr>
              <w:t xml:space="preserve">In </w:t>
            </w:r>
            <w:r w:rsidR="008546D6">
              <w:rPr>
                <w:b/>
                <w:bCs/>
                <w:color w:val="FFFFFF" w:themeColor="background1"/>
                <w:lang w:val="en-US"/>
              </w:rPr>
              <w:t>S</w:t>
            </w:r>
            <w:r w:rsidRPr="008546D6">
              <w:rPr>
                <w:b/>
                <w:bCs/>
                <w:color w:val="FFFFFF" w:themeColor="background1"/>
                <w:lang w:val="en-US"/>
              </w:rPr>
              <w:t>cope</w:t>
            </w:r>
          </w:p>
        </w:tc>
      </w:tr>
      <w:tr w:rsidR="00855077" w14:paraId="542F283E" w14:textId="77777777" w:rsidTr="191141EE">
        <w:tc>
          <w:tcPr>
            <w:tcW w:w="9628" w:type="dxa"/>
          </w:tcPr>
          <w:p w14:paraId="4A97FE39" w14:textId="52B27E90" w:rsidR="009F12DA" w:rsidRPr="009F12DA" w:rsidRDefault="009F12DA" w:rsidP="004538ED">
            <w:pPr>
              <w:spacing w:line="259" w:lineRule="auto"/>
              <w:rPr>
                <w:rFonts w:cs="Arial"/>
                <w:color w:val="000000" w:themeColor="text1"/>
              </w:rPr>
            </w:pPr>
            <w:r w:rsidRPr="009F12DA">
              <w:rPr>
                <w:rFonts w:cs="Arial"/>
                <w:color w:val="000000" w:themeColor="text1"/>
              </w:rPr>
              <w:t>All core emergency planning and resilience functions and duties</w:t>
            </w:r>
            <w:r w:rsidR="00C5370E">
              <w:rPr>
                <w:rFonts w:cs="Arial"/>
                <w:color w:val="000000" w:themeColor="text1"/>
              </w:rPr>
              <w:t>, which includes</w:t>
            </w:r>
          </w:p>
          <w:p w14:paraId="4400B38A" w14:textId="77777777" w:rsidR="009F12DA" w:rsidRPr="009F12DA" w:rsidRDefault="009F12DA" w:rsidP="004538ED">
            <w:pPr>
              <w:pStyle w:val="ListParagraph"/>
              <w:numPr>
                <w:ilvl w:val="0"/>
                <w:numId w:val="18"/>
              </w:numPr>
              <w:rPr>
                <w:rFonts w:eastAsia="Times New Roman" w:cs="Arial"/>
                <w:kern w:val="0"/>
                <w:lang w:eastAsia="en-GB"/>
                <w14:ligatures w14:val="none"/>
              </w:rPr>
            </w:pPr>
            <w:r w:rsidRPr="009F12DA">
              <w:rPr>
                <w:rFonts w:eastAsia="Times New Roman" w:cs="Arial"/>
                <w:kern w:val="0"/>
                <w:lang w:eastAsia="en-GB"/>
                <w14:ligatures w14:val="none"/>
              </w:rPr>
              <w:t>Assessing the risks of emergencies and use this information to inform contingency planning.</w:t>
            </w:r>
          </w:p>
          <w:p w14:paraId="69F47F03" w14:textId="77777777" w:rsidR="009F12DA" w:rsidRPr="009F12DA" w:rsidRDefault="009F12DA" w:rsidP="004538ED">
            <w:pPr>
              <w:pStyle w:val="ListParagraph"/>
              <w:numPr>
                <w:ilvl w:val="0"/>
                <w:numId w:val="18"/>
              </w:numPr>
              <w:rPr>
                <w:rFonts w:eastAsia="Times New Roman" w:cs="Arial"/>
                <w:kern w:val="0"/>
                <w:lang w:eastAsia="en-GB"/>
                <w14:ligatures w14:val="none"/>
              </w:rPr>
            </w:pPr>
            <w:r w:rsidRPr="009F12DA">
              <w:rPr>
                <w:rFonts w:eastAsia="Times New Roman" w:cs="Arial"/>
                <w:kern w:val="0"/>
                <w:lang w:eastAsia="en-GB"/>
                <w14:ligatures w14:val="none"/>
              </w:rPr>
              <w:t>Maintaining Emergency Plans and Business Continuity Plans.</w:t>
            </w:r>
          </w:p>
          <w:p w14:paraId="63B973AC" w14:textId="77777777" w:rsidR="009F12DA" w:rsidRPr="009F12DA" w:rsidRDefault="009F12DA" w:rsidP="004538ED">
            <w:pPr>
              <w:pStyle w:val="ListParagraph"/>
              <w:numPr>
                <w:ilvl w:val="0"/>
                <w:numId w:val="18"/>
              </w:numPr>
              <w:rPr>
                <w:rFonts w:eastAsia="Times New Roman" w:cs="Arial"/>
                <w:kern w:val="0"/>
                <w:lang w:eastAsia="en-GB"/>
                <w14:ligatures w14:val="none"/>
              </w:rPr>
            </w:pPr>
            <w:r w:rsidRPr="009F12DA">
              <w:rPr>
                <w:rFonts w:eastAsia="Times New Roman" w:cs="Arial"/>
                <w:kern w:val="0"/>
                <w:lang w:eastAsia="en-GB"/>
                <w14:ligatures w14:val="none"/>
              </w:rPr>
              <w:t>Providing public information on civil protection and ensure arrangements are in place to warn, inform, and advise communities during emergencies.</w:t>
            </w:r>
          </w:p>
          <w:p w14:paraId="5C9788AA" w14:textId="77777777" w:rsidR="009F12DA" w:rsidRPr="009F12DA" w:rsidRDefault="009F12DA" w:rsidP="004538ED">
            <w:pPr>
              <w:pStyle w:val="ListParagraph"/>
              <w:numPr>
                <w:ilvl w:val="0"/>
                <w:numId w:val="18"/>
              </w:numPr>
              <w:rPr>
                <w:rFonts w:eastAsia="Times New Roman" w:cs="Arial"/>
                <w:kern w:val="0"/>
                <w:lang w:eastAsia="en-GB"/>
                <w14:ligatures w14:val="none"/>
              </w:rPr>
            </w:pPr>
            <w:r w:rsidRPr="009F12DA">
              <w:rPr>
                <w:rFonts w:eastAsia="Times New Roman" w:cs="Arial"/>
                <w:kern w:val="0"/>
                <w:lang w:eastAsia="en-GB"/>
                <w14:ligatures w14:val="none"/>
              </w:rPr>
              <w:t>Sharing information with partner agencies to enhance coordination.</w:t>
            </w:r>
          </w:p>
          <w:p w14:paraId="3C62D346" w14:textId="77777777" w:rsidR="009F12DA" w:rsidRPr="009F12DA" w:rsidRDefault="009F12DA" w:rsidP="004538ED">
            <w:pPr>
              <w:pStyle w:val="ListParagraph"/>
              <w:numPr>
                <w:ilvl w:val="0"/>
                <w:numId w:val="18"/>
              </w:numPr>
              <w:rPr>
                <w:rFonts w:eastAsia="Times New Roman" w:cs="Arial"/>
                <w:kern w:val="0"/>
                <w:lang w:eastAsia="en-GB"/>
                <w14:ligatures w14:val="none"/>
              </w:rPr>
            </w:pPr>
            <w:r w:rsidRPr="009F12DA">
              <w:rPr>
                <w:rFonts w:eastAsia="Times New Roman" w:cs="Arial"/>
                <w:kern w:val="0"/>
                <w:lang w:eastAsia="en-GB"/>
                <w14:ligatures w14:val="none"/>
              </w:rPr>
              <w:t>Cooperating with other local responders to improve efficiency and resilience.</w:t>
            </w:r>
          </w:p>
          <w:p w14:paraId="36500563" w14:textId="77777777" w:rsidR="009F12DA" w:rsidRPr="009F12DA" w:rsidRDefault="009F12DA" w:rsidP="004538ED">
            <w:pPr>
              <w:pStyle w:val="ListParagraph"/>
              <w:numPr>
                <w:ilvl w:val="0"/>
                <w:numId w:val="18"/>
              </w:numPr>
              <w:rPr>
                <w:rFonts w:eastAsia="Times New Roman" w:cs="Arial"/>
                <w:kern w:val="0"/>
                <w:lang w:eastAsia="en-GB"/>
                <w14:ligatures w14:val="none"/>
              </w:rPr>
            </w:pPr>
            <w:r w:rsidRPr="009F12DA">
              <w:rPr>
                <w:rFonts w:eastAsia="Times New Roman" w:cs="Arial"/>
                <w:kern w:val="0"/>
                <w:lang w:eastAsia="en-GB"/>
                <w14:ligatures w14:val="none"/>
              </w:rPr>
              <w:t>Promoting Business Continuity by offering advice and assistance to local businesses and voluntary organisations.</w:t>
            </w:r>
          </w:p>
          <w:p w14:paraId="59BD957D" w14:textId="77777777" w:rsidR="009F12DA" w:rsidRDefault="009F12DA" w:rsidP="004538ED">
            <w:pPr>
              <w:spacing w:line="259" w:lineRule="auto"/>
              <w:rPr>
                <w:rFonts w:eastAsia="Times New Roman" w:cs="Arial"/>
                <w:kern w:val="0"/>
                <w:lang w:eastAsia="en-GB"/>
                <w14:ligatures w14:val="none"/>
              </w:rPr>
            </w:pPr>
          </w:p>
          <w:p w14:paraId="6076A3A4" w14:textId="24AE42B1" w:rsidR="009F12DA" w:rsidRPr="009F12DA" w:rsidRDefault="009F12DA" w:rsidP="004538ED">
            <w:pPr>
              <w:spacing w:line="259" w:lineRule="auto"/>
              <w:rPr>
                <w:rFonts w:eastAsia="Times New Roman" w:cs="Arial"/>
                <w:kern w:val="0"/>
                <w:lang w:eastAsia="en-GB"/>
                <w14:ligatures w14:val="none"/>
              </w:rPr>
            </w:pPr>
            <w:r w:rsidRPr="009F12DA">
              <w:rPr>
                <w:rFonts w:eastAsia="Times New Roman" w:cs="Arial"/>
                <w:kern w:val="0"/>
                <w:lang w:eastAsia="en-GB"/>
                <w14:ligatures w14:val="none"/>
              </w:rPr>
              <w:t xml:space="preserve">Specifically, this will include the following </w:t>
            </w:r>
            <w:r w:rsidR="00C5370E">
              <w:rPr>
                <w:rFonts w:eastAsia="Times New Roman" w:cs="Arial"/>
                <w:kern w:val="0"/>
                <w:lang w:eastAsia="en-GB"/>
                <w14:ligatures w14:val="none"/>
              </w:rPr>
              <w:t>resilience activities.</w:t>
            </w:r>
          </w:p>
          <w:p w14:paraId="36EB8274" w14:textId="4270ABE9" w:rsidR="009F12DA" w:rsidRPr="009F12DA" w:rsidRDefault="009F12DA" w:rsidP="004538ED">
            <w:pPr>
              <w:pStyle w:val="ListParagraph"/>
              <w:numPr>
                <w:ilvl w:val="0"/>
                <w:numId w:val="19"/>
              </w:numPr>
              <w:rPr>
                <w:rFonts w:cs="Arial"/>
                <w:color w:val="000000" w:themeColor="text1"/>
              </w:rPr>
            </w:pPr>
            <w:r w:rsidRPr="009F12DA">
              <w:rPr>
                <w:rFonts w:cs="Arial"/>
                <w:color w:val="000000" w:themeColor="text1"/>
              </w:rPr>
              <w:t xml:space="preserve">Strategic response arrangements </w:t>
            </w:r>
          </w:p>
          <w:p w14:paraId="03F86DAB" w14:textId="4E7E6209" w:rsidR="009F12DA" w:rsidRPr="009F12DA" w:rsidRDefault="009F12DA" w:rsidP="004538ED">
            <w:pPr>
              <w:pStyle w:val="ListParagraph"/>
              <w:numPr>
                <w:ilvl w:val="0"/>
                <w:numId w:val="19"/>
              </w:numPr>
              <w:rPr>
                <w:rFonts w:cs="Arial"/>
                <w:color w:val="000000" w:themeColor="text1"/>
              </w:rPr>
            </w:pPr>
            <w:r w:rsidRPr="009F12DA">
              <w:rPr>
                <w:rFonts w:cs="Arial"/>
                <w:color w:val="000000" w:themeColor="text1"/>
              </w:rPr>
              <w:t>CONTEST (including Martyn’s Law)</w:t>
            </w:r>
          </w:p>
          <w:p w14:paraId="7FC09415" w14:textId="77777777" w:rsidR="009F12DA" w:rsidRPr="009F12DA" w:rsidRDefault="009F12DA" w:rsidP="004538ED">
            <w:pPr>
              <w:pStyle w:val="ListParagraph"/>
              <w:numPr>
                <w:ilvl w:val="0"/>
                <w:numId w:val="19"/>
              </w:numPr>
              <w:rPr>
                <w:rFonts w:cs="Arial"/>
                <w:color w:val="000000" w:themeColor="text1"/>
              </w:rPr>
            </w:pPr>
            <w:r w:rsidRPr="009F12DA">
              <w:rPr>
                <w:rFonts w:cs="Arial"/>
                <w:color w:val="000000" w:themeColor="text1"/>
              </w:rPr>
              <w:t>Co-ordination of Safety Advisory Group</w:t>
            </w:r>
          </w:p>
          <w:p w14:paraId="19FDDB26" w14:textId="77777777" w:rsidR="009F12DA" w:rsidRPr="009F12DA" w:rsidRDefault="009F12DA" w:rsidP="004538ED">
            <w:pPr>
              <w:pStyle w:val="ListParagraph"/>
              <w:numPr>
                <w:ilvl w:val="0"/>
                <w:numId w:val="19"/>
              </w:numPr>
              <w:rPr>
                <w:rFonts w:cs="Arial"/>
                <w:color w:val="000000" w:themeColor="text1"/>
              </w:rPr>
            </w:pPr>
            <w:r w:rsidRPr="009F12DA">
              <w:rPr>
                <w:rFonts w:cs="Arial"/>
                <w:color w:val="000000" w:themeColor="text1"/>
              </w:rPr>
              <w:t xml:space="preserve">Business Continuity Management </w:t>
            </w:r>
          </w:p>
          <w:p w14:paraId="3ACCFB79" w14:textId="237EF334" w:rsidR="009F12DA" w:rsidRPr="009F12DA" w:rsidRDefault="009F12DA" w:rsidP="004538ED">
            <w:pPr>
              <w:pStyle w:val="ListParagraph"/>
              <w:numPr>
                <w:ilvl w:val="0"/>
                <w:numId w:val="19"/>
              </w:numPr>
              <w:rPr>
                <w:rFonts w:cs="Arial"/>
                <w:color w:val="000000" w:themeColor="text1"/>
              </w:rPr>
            </w:pPr>
            <w:r w:rsidRPr="009F12DA">
              <w:rPr>
                <w:rFonts w:cs="Arial"/>
                <w:color w:val="000000" w:themeColor="text1"/>
              </w:rPr>
              <w:t>Contact Centre (24/7 or out of hours</w:t>
            </w:r>
            <w:r w:rsidR="00127B7A">
              <w:rPr>
                <w:rFonts w:cs="Arial"/>
                <w:color w:val="000000" w:themeColor="text1"/>
              </w:rPr>
              <w:t xml:space="preserve"> enhancing incident response capability</w:t>
            </w:r>
            <w:r w:rsidRPr="009F12DA">
              <w:rPr>
                <w:rFonts w:cs="Arial"/>
                <w:color w:val="000000" w:themeColor="text1"/>
              </w:rPr>
              <w:t>)</w:t>
            </w:r>
          </w:p>
          <w:p w14:paraId="3EA4912F" w14:textId="77777777" w:rsidR="009F12DA" w:rsidRPr="009F12DA" w:rsidRDefault="009F12DA" w:rsidP="004538ED">
            <w:pPr>
              <w:pStyle w:val="ListParagraph"/>
              <w:numPr>
                <w:ilvl w:val="0"/>
                <w:numId w:val="19"/>
              </w:numPr>
              <w:rPr>
                <w:rFonts w:cs="Arial"/>
                <w:color w:val="000000" w:themeColor="text1"/>
              </w:rPr>
            </w:pPr>
            <w:r w:rsidRPr="009F12DA">
              <w:rPr>
                <w:rFonts w:cs="Arial"/>
                <w:color w:val="000000" w:themeColor="text1"/>
              </w:rPr>
              <w:t>Community resilience groups</w:t>
            </w:r>
          </w:p>
          <w:p w14:paraId="553936E8" w14:textId="752F9CF0" w:rsidR="009F12DA" w:rsidRPr="009F12DA" w:rsidRDefault="009F12DA" w:rsidP="004538ED">
            <w:pPr>
              <w:pStyle w:val="ListParagraph"/>
              <w:numPr>
                <w:ilvl w:val="0"/>
                <w:numId w:val="19"/>
              </w:numPr>
              <w:rPr>
                <w:rFonts w:cs="Arial"/>
                <w:color w:val="000000" w:themeColor="text1"/>
              </w:rPr>
            </w:pPr>
            <w:r w:rsidRPr="009F12DA">
              <w:rPr>
                <w:rFonts w:cs="Arial"/>
                <w:color w:val="000000" w:themeColor="text1"/>
              </w:rPr>
              <w:t>Incident debriefing learning and review</w:t>
            </w:r>
          </w:p>
          <w:p w14:paraId="4BF6199F" w14:textId="54204D03" w:rsidR="00C5370E" w:rsidRDefault="00C5370E" w:rsidP="004538ED">
            <w:pPr>
              <w:pStyle w:val="ListParagraph"/>
              <w:numPr>
                <w:ilvl w:val="0"/>
                <w:numId w:val="19"/>
              </w:numPr>
              <w:spacing w:line="259" w:lineRule="auto"/>
              <w:rPr>
                <w:rFonts w:cs="Arial"/>
                <w:color w:val="000000" w:themeColor="text1"/>
              </w:rPr>
            </w:pPr>
            <w:r>
              <w:rPr>
                <w:rFonts w:cs="Arial"/>
                <w:color w:val="000000" w:themeColor="text1"/>
              </w:rPr>
              <w:t>Coordinating the Councils response during incidents and supporting the incident Management Team</w:t>
            </w:r>
          </w:p>
          <w:p w14:paraId="5C575C7D" w14:textId="638CA80F" w:rsidR="00C5370E" w:rsidRDefault="00C5370E" w:rsidP="004538ED">
            <w:pPr>
              <w:pStyle w:val="ListParagraph"/>
              <w:numPr>
                <w:ilvl w:val="0"/>
                <w:numId w:val="19"/>
              </w:numPr>
              <w:spacing w:line="259" w:lineRule="auto"/>
              <w:rPr>
                <w:rFonts w:cs="Arial"/>
                <w:color w:val="000000" w:themeColor="text1"/>
              </w:rPr>
            </w:pPr>
            <w:r>
              <w:rPr>
                <w:rFonts w:cs="Arial"/>
                <w:color w:val="000000" w:themeColor="text1"/>
              </w:rPr>
              <w:t>Representing the Co</w:t>
            </w:r>
            <w:r w:rsidR="003A4E94">
              <w:rPr>
                <w:rFonts w:cs="Arial"/>
                <w:color w:val="000000" w:themeColor="text1"/>
              </w:rPr>
              <w:t>u</w:t>
            </w:r>
            <w:r>
              <w:rPr>
                <w:rFonts w:cs="Arial"/>
                <w:color w:val="000000" w:themeColor="text1"/>
              </w:rPr>
              <w:t xml:space="preserve">ncil across </w:t>
            </w:r>
            <w:r w:rsidR="003A4E94">
              <w:rPr>
                <w:rFonts w:cs="Arial"/>
                <w:color w:val="000000" w:themeColor="text1"/>
              </w:rPr>
              <w:t>local, regional and national resilience partnerships and working groups.</w:t>
            </w:r>
          </w:p>
          <w:p w14:paraId="74DBB89A" w14:textId="2A3B40E3" w:rsidR="003A4E94" w:rsidRDefault="003A4E94" w:rsidP="004538ED">
            <w:pPr>
              <w:pStyle w:val="ListParagraph"/>
              <w:numPr>
                <w:ilvl w:val="0"/>
                <w:numId w:val="19"/>
              </w:numPr>
              <w:spacing w:line="259" w:lineRule="auto"/>
              <w:rPr>
                <w:rFonts w:cs="Arial"/>
                <w:color w:val="000000" w:themeColor="text1"/>
              </w:rPr>
            </w:pPr>
            <w:r>
              <w:rPr>
                <w:rFonts w:cs="Arial"/>
                <w:color w:val="000000" w:themeColor="text1"/>
              </w:rPr>
              <w:t>Delivering training, awareness and capability development across the organisation.</w:t>
            </w:r>
          </w:p>
          <w:p w14:paraId="5BA97A79" w14:textId="1D038D28" w:rsidR="003A4E94" w:rsidRDefault="00416963" w:rsidP="004538ED">
            <w:pPr>
              <w:pStyle w:val="ListParagraph"/>
              <w:numPr>
                <w:ilvl w:val="0"/>
                <w:numId w:val="19"/>
              </w:numPr>
              <w:spacing w:line="259" w:lineRule="auto"/>
              <w:rPr>
                <w:rFonts w:cs="Arial"/>
                <w:color w:val="000000" w:themeColor="text1"/>
              </w:rPr>
            </w:pPr>
            <w:r>
              <w:rPr>
                <w:rFonts w:cs="Arial"/>
                <w:color w:val="000000" w:themeColor="text1"/>
              </w:rPr>
              <w:t xml:space="preserve">Developing and preparing plans with supporting </w:t>
            </w:r>
            <w:r w:rsidR="003A4E94" w:rsidRPr="009F12DA">
              <w:rPr>
                <w:rFonts w:cs="Arial"/>
                <w:color w:val="000000" w:themeColor="text1"/>
              </w:rPr>
              <w:t xml:space="preserve">training and exercising </w:t>
            </w:r>
            <w:r>
              <w:rPr>
                <w:rFonts w:cs="Arial"/>
                <w:color w:val="000000" w:themeColor="text1"/>
              </w:rPr>
              <w:t>inclusive, but not limited to the following</w:t>
            </w:r>
            <w:r w:rsidR="003A4E94" w:rsidRPr="009F12DA">
              <w:rPr>
                <w:rFonts w:cs="Arial"/>
                <w:color w:val="000000" w:themeColor="text1"/>
              </w:rPr>
              <w:t>:</w:t>
            </w:r>
          </w:p>
          <w:p w14:paraId="7AFB2900" w14:textId="77777777" w:rsidR="00416963" w:rsidRPr="00416963" w:rsidRDefault="00416963" w:rsidP="004538ED">
            <w:pPr>
              <w:pStyle w:val="ListParagraph"/>
              <w:spacing w:line="259" w:lineRule="auto"/>
              <w:rPr>
                <w:rFonts w:cs="Arial"/>
                <w:color w:val="000000" w:themeColor="text1"/>
              </w:rPr>
            </w:pPr>
          </w:p>
          <w:p w14:paraId="624F02E0" w14:textId="3B74EEEF" w:rsidR="009F12DA" w:rsidRPr="00416963" w:rsidRDefault="009F12DA" w:rsidP="004538ED">
            <w:pPr>
              <w:pStyle w:val="ListParagraph"/>
              <w:numPr>
                <w:ilvl w:val="1"/>
                <w:numId w:val="22"/>
              </w:numPr>
              <w:rPr>
                <w:rFonts w:cs="Arial"/>
                <w:color w:val="000000" w:themeColor="text1"/>
              </w:rPr>
            </w:pPr>
            <w:r w:rsidRPr="00416963">
              <w:rPr>
                <w:rFonts w:cs="Arial"/>
                <w:color w:val="000000" w:themeColor="text1"/>
              </w:rPr>
              <w:t>Care for people and community resilience</w:t>
            </w:r>
          </w:p>
          <w:p w14:paraId="47C812AE" w14:textId="08EC10BD" w:rsidR="009F12DA" w:rsidRPr="00416963" w:rsidRDefault="009F12DA" w:rsidP="004538ED">
            <w:pPr>
              <w:pStyle w:val="ListParagraph"/>
              <w:numPr>
                <w:ilvl w:val="1"/>
                <w:numId w:val="22"/>
              </w:numPr>
              <w:rPr>
                <w:rFonts w:cs="Arial"/>
                <w:color w:val="000000" w:themeColor="text1"/>
              </w:rPr>
            </w:pPr>
            <w:r w:rsidRPr="00416963">
              <w:rPr>
                <w:rFonts w:cs="Arial"/>
                <w:color w:val="000000" w:themeColor="text1"/>
              </w:rPr>
              <w:t xml:space="preserve">Mass fatalities </w:t>
            </w:r>
          </w:p>
          <w:p w14:paraId="6181721B" w14:textId="758E85A2" w:rsidR="009F12DA" w:rsidRPr="00416963" w:rsidRDefault="009F12DA" w:rsidP="004538ED">
            <w:pPr>
              <w:pStyle w:val="ListParagraph"/>
              <w:numPr>
                <w:ilvl w:val="1"/>
                <w:numId w:val="22"/>
              </w:numPr>
              <w:rPr>
                <w:rFonts w:cs="Arial"/>
                <w:color w:val="000000" w:themeColor="text1"/>
              </w:rPr>
            </w:pPr>
            <w:r w:rsidRPr="00416963">
              <w:rPr>
                <w:rFonts w:cs="Arial"/>
                <w:color w:val="000000" w:themeColor="text1"/>
              </w:rPr>
              <w:t xml:space="preserve">Flu pandemic </w:t>
            </w:r>
          </w:p>
          <w:p w14:paraId="3E035365" w14:textId="3E4A73CF" w:rsidR="009F12DA" w:rsidRPr="00416963" w:rsidRDefault="009F12DA" w:rsidP="004538ED">
            <w:pPr>
              <w:pStyle w:val="ListParagraph"/>
              <w:numPr>
                <w:ilvl w:val="1"/>
                <w:numId w:val="22"/>
              </w:numPr>
              <w:rPr>
                <w:rFonts w:cs="Arial"/>
                <w:color w:val="000000" w:themeColor="text1"/>
              </w:rPr>
            </w:pPr>
            <w:r w:rsidRPr="00416963">
              <w:rPr>
                <w:rFonts w:cs="Arial"/>
                <w:color w:val="000000" w:themeColor="text1"/>
              </w:rPr>
              <w:t>Fuel shortage</w:t>
            </w:r>
          </w:p>
          <w:p w14:paraId="20A31E83" w14:textId="2BCEE78F" w:rsidR="009F12DA" w:rsidRPr="00416963" w:rsidRDefault="009F12DA" w:rsidP="004538ED">
            <w:pPr>
              <w:pStyle w:val="ListParagraph"/>
              <w:numPr>
                <w:ilvl w:val="1"/>
                <w:numId w:val="22"/>
              </w:numPr>
              <w:rPr>
                <w:rFonts w:cs="Arial"/>
                <w:color w:val="000000" w:themeColor="text1"/>
              </w:rPr>
            </w:pPr>
            <w:r w:rsidRPr="00416963">
              <w:rPr>
                <w:rFonts w:cs="Arial"/>
                <w:color w:val="000000" w:themeColor="text1"/>
              </w:rPr>
              <w:t>National Power Outage/Utilities failure</w:t>
            </w:r>
            <w:r w:rsidR="00F57723">
              <w:rPr>
                <w:rFonts w:cs="Arial"/>
                <w:color w:val="000000" w:themeColor="text1"/>
              </w:rPr>
              <w:t>/Resilient telecoms</w:t>
            </w:r>
          </w:p>
          <w:p w14:paraId="2CD652BF" w14:textId="6633429E" w:rsidR="009F12DA" w:rsidRPr="00416963" w:rsidRDefault="009F12DA" w:rsidP="004538ED">
            <w:pPr>
              <w:pStyle w:val="ListParagraph"/>
              <w:numPr>
                <w:ilvl w:val="1"/>
                <w:numId w:val="22"/>
              </w:numPr>
              <w:rPr>
                <w:rFonts w:cs="Arial"/>
                <w:color w:val="000000" w:themeColor="text1"/>
              </w:rPr>
            </w:pPr>
            <w:r w:rsidRPr="00416963">
              <w:rPr>
                <w:rFonts w:cs="Arial"/>
                <w:color w:val="000000" w:themeColor="text1"/>
              </w:rPr>
              <w:t>Cyber security</w:t>
            </w:r>
          </w:p>
          <w:p w14:paraId="353123FB" w14:textId="13B0A22F" w:rsidR="009F12DA" w:rsidRPr="00416963" w:rsidRDefault="009F12DA" w:rsidP="004538ED">
            <w:pPr>
              <w:pStyle w:val="ListParagraph"/>
              <w:numPr>
                <w:ilvl w:val="1"/>
                <w:numId w:val="22"/>
              </w:numPr>
              <w:rPr>
                <w:rFonts w:cs="Arial"/>
                <w:color w:val="000000" w:themeColor="text1"/>
              </w:rPr>
            </w:pPr>
            <w:r w:rsidRPr="00416963">
              <w:rPr>
                <w:rFonts w:cs="Arial"/>
                <w:color w:val="000000" w:themeColor="text1"/>
              </w:rPr>
              <w:t>Severe weather</w:t>
            </w:r>
          </w:p>
          <w:p w14:paraId="33016173" w14:textId="5E8C749A" w:rsidR="003A4E94" w:rsidRPr="00416963" w:rsidRDefault="003A4E94" w:rsidP="004538ED">
            <w:pPr>
              <w:pStyle w:val="ListParagraph"/>
              <w:numPr>
                <w:ilvl w:val="1"/>
                <w:numId w:val="22"/>
              </w:numPr>
              <w:rPr>
                <w:rFonts w:cs="Arial"/>
                <w:color w:val="000000" w:themeColor="text1"/>
              </w:rPr>
            </w:pPr>
            <w:r w:rsidRPr="00416963">
              <w:rPr>
                <w:rFonts w:cs="Arial"/>
                <w:color w:val="000000" w:themeColor="text1"/>
              </w:rPr>
              <w:t>COMAH</w:t>
            </w:r>
          </w:p>
          <w:p w14:paraId="349E2A37" w14:textId="14D9D1DF" w:rsidR="00416963" w:rsidRPr="00416963" w:rsidRDefault="003A4E94" w:rsidP="004538ED">
            <w:pPr>
              <w:pStyle w:val="ListParagraph"/>
              <w:numPr>
                <w:ilvl w:val="1"/>
                <w:numId w:val="22"/>
              </w:numPr>
              <w:rPr>
                <w:rFonts w:cs="Arial"/>
                <w:color w:val="000000" w:themeColor="text1"/>
              </w:rPr>
            </w:pPr>
            <w:r w:rsidRPr="00416963">
              <w:rPr>
                <w:rFonts w:cs="Arial"/>
                <w:color w:val="000000" w:themeColor="text1"/>
              </w:rPr>
              <w:t xml:space="preserve">Incident Management </w:t>
            </w:r>
          </w:p>
          <w:p w14:paraId="19005477" w14:textId="4F9D1D73" w:rsidR="008546D6" w:rsidRPr="00416963" w:rsidRDefault="003A4E94" w:rsidP="004538ED">
            <w:pPr>
              <w:pStyle w:val="ListParagraph"/>
              <w:numPr>
                <w:ilvl w:val="1"/>
                <w:numId w:val="22"/>
              </w:numPr>
              <w:rPr>
                <w:rFonts w:cs="Arial"/>
                <w:color w:val="000000" w:themeColor="text1"/>
              </w:rPr>
            </w:pPr>
            <w:r w:rsidRPr="00416963">
              <w:rPr>
                <w:lang w:val="en-US"/>
              </w:rPr>
              <w:t>Coastal Pollution</w:t>
            </w:r>
          </w:p>
          <w:p w14:paraId="37F14D39" w14:textId="2F384A15" w:rsidR="003A4E94" w:rsidRPr="00416963" w:rsidRDefault="00416963" w:rsidP="004538ED">
            <w:pPr>
              <w:pStyle w:val="ListParagraph"/>
              <w:numPr>
                <w:ilvl w:val="1"/>
                <w:numId w:val="22"/>
              </w:numPr>
              <w:rPr>
                <w:lang w:val="en-US"/>
              </w:rPr>
            </w:pPr>
            <w:r>
              <w:rPr>
                <w:lang w:val="en-US"/>
              </w:rPr>
              <w:t>Major Accident Hazard Pipelines (</w:t>
            </w:r>
            <w:r w:rsidR="003A4E94" w:rsidRPr="00416963">
              <w:rPr>
                <w:lang w:val="en-US"/>
              </w:rPr>
              <w:t>MAHP</w:t>
            </w:r>
            <w:r>
              <w:rPr>
                <w:lang w:val="en-US"/>
              </w:rPr>
              <w:t>)</w:t>
            </w:r>
          </w:p>
          <w:p w14:paraId="1EF0BDF4" w14:textId="3C219554" w:rsidR="008546D6" w:rsidRDefault="008546D6" w:rsidP="004538ED">
            <w:pPr>
              <w:rPr>
                <w:u w:val="single"/>
                <w:lang w:val="en-US"/>
              </w:rPr>
            </w:pPr>
          </w:p>
          <w:p w14:paraId="54121151" w14:textId="69D6114C" w:rsidR="008546D6" w:rsidRDefault="78193D31" w:rsidP="004538ED">
            <w:pPr>
              <w:rPr>
                <w:rFonts w:eastAsia="Arial" w:cs="Arial"/>
                <w:color w:val="000000" w:themeColor="text1"/>
                <w:lang w:val="en-US"/>
              </w:rPr>
            </w:pPr>
            <w:r w:rsidRPr="191141EE">
              <w:rPr>
                <w:rFonts w:eastAsia="Arial" w:cs="Arial"/>
                <w:color w:val="000000" w:themeColor="text1"/>
                <w:lang w:val="en-US"/>
              </w:rPr>
              <w:t>The design of</w:t>
            </w:r>
            <w:r w:rsidR="064BCA84" w:rsidRPr="191141EE">
              <w:rPr>
                <w:rFonts w:eastAsia="Arial" w:cs="Arial"/>
                <w:color w:val="000000" w:themeColor="text1"/>
                <w:lang w:val="en-US"/>
              </w:rPr>
              <w:t xml:space="preserve"> the</w:t>
            </w:r>
            <w:r w:rsidR="5C759864" w:rsidRPr="191141EE">
              <w:rPr>
                <w:rFonts w:eastAsia="Arial" w:cs="Arial"/>
                <w:color w:val="000000" w:themeColor="text1"/>
                <w:lang w:val="en-US"/>
              </w:rPr>
              <w:t xml:space="preserve"> future operating model </w:t>
            </w:r>
            <w:r w:rsidRPr="191141EE">
              <w:rPr>
                <w:rFonts w:eastAsia="Arial" w:cs="Arial"/>
                <w:color w:val="000000" w:themeColor="text1"/>
                <w:lang w:val="en-US"/>
              </w:rPr>
              <w:t xml:space="preserve">will reflect the </w:t>
            </w:r>
            <w:proofErr w:type="spellStart"/>
            <w:r w:rsidRPr="191141EE">
              <w:rPr>
                <w:rFonts w:eastAsia="Arial" w:cs="Arial"/>
                <w:color w:val="000000" w:themeColor="text1"/>
                <w:lang w:val="en-US"/>
              </w:rPr>
              <w:t>programmes</w:t>
            </w:r>
            <w:proofErr w:type="spellEnd"/>
            <w:r w:rsidRPr="191141EE">
              <w:rPr>
                <w:rFonts w:eastAsia="Arial" w:cs="Arial"/>
                <w:color w:val="000000" w:themeColor="text1"/>
                <w:lang w:val="en-US"/>
              </w:rPr>
              <w:t xml:space="preserve"> ambitions of transformational change. </w:t>
            </w:r>
            <w:r w:rsidR="004538ED">
              <w:rPr>
                <w:rFonts w:eastAsia="Arial" w:cs="Arial"/>
                <w:color w:val="000000" w:themeColor="text1"/>
                <w:lang w:val="en-US"/>
              </w:rPr>
              <w:t xml:space="preserve"> </w:t>
            </w:r>
            <w:r w:rsidR="5BDABEF8" w:rsidRPr="191141EE">
              <w:rPr>
                <w:rFonts w:eastAsia="Arial" w:cs="Arial"/>
                <w:color w:val="000000" w:themeColor="text1"/>
                <w:lang w:val="en-US"/>
              </w:rPr>
              <w:t>As this work develops</w:t>
            </w:r>
            <w:r w:rsidR="67963897" w:rsidRPr="191141EE">
              <w:rPr>
                <w:rFonts w:eastAsia="Arial" w:cs="Arial"/>
                <w:color w:val="000000" w:themeColor="text1"/>
                <w:lang w:val="en-US"/>
              </w:rPr>
              <w:t>,</w:t>
            </w:r>
            <w:r w:rsidR="5BDABEF8" w:rsidRPr="191141EE">
              <w:rPr>
                <w:rFonts w:eastAsia="Arial" w:cs="Arial"/>
                <w:color w:val="000000" w:themeColor="text1"/>
                <w:lang w:val="en-US"/>
              </w:rPr>
              <w:t xml:space="preserve"> future areas of work may be identified to be considered in scope.</w:t>
            </w:r>
          </w:p>
        </w:tc>
      </w:tr>
      <w:tr w:rsidR="00855077" w:rsidRPr="00855077" w14:paraId="7C5FC537" w14:textId="77777777" w:rsidTr="191141EE">
        <w:tc>
          <w:tcPr>
            <w:tcW w:w="9628" w:type="dxa"/>
            <w:shd w:val="clear" w:color="auto" w:fill="196B24" w:themeFill="accent3"/>
          </w:tcPr>
          <w:p w14:paraId="3027A7DE" w14:textId="29E8B62F" w:rsidR="00855077" w:rsidRPr="008546D6" w:rsidRDefault="008546D6" w:rsidP="00855077">
            <w:pPr>
              <w:spacing w:before="60" w:after="60"/>
              <w:rPr>
                <w:b/>
                <w:bCs/>
                <w:color w:val="FFFFFF" w:themeColor="background1"/>
                <w:lang w:val="en-US"/>
              </w:rPr>
            </w:pPr>
            <w:r w:rsidRPr="008546D6">
              <w:rPr>
                <w:b/>
                <w:bCs/>
                <w:color w:val="FFFFFF" w:themeColor="background1"/>
                <w:lang w:val="en-US"/>
              </w:rPr>
              <w:lastRenderedPageBreak/>
              <w:t>Out of Scope</w:t>
            </w:r>
          </w:p>
        </w:tc>
      </w:tr>
      <w:tr w:rsidR="00855077" w14:paraId="6C607553" w14:textId="77777777" w:rsidTr="191141EE">
        <w:tc>
          <w:tcPr>
            <w:tcW w:w="9628" w:type="dxa"/>
          </w:tcPr>
          <w:p w14:paraId="3B592228" w14:textId="77777777" w:rsidR="00855077" w:rsidRDefault="00855077" w:rsidP="007E708B">
            <w:pPr>
              <w:rPr>
                <w:u w:val="single"/>
                <w:lang w:val="en-US"/>
              </w:rPr>
            </w:pPr>
          </w:p>
          <w:p w14:paraId="79D19D57" w14:textId="1D85AC38" w:rsidR="00127B7A" w:rsidRPr="00127B7A" w:rsidRDefault="009F12DA" w:rsidP="00127B7A">
            <w:pPr>
              <w:pStyle w:val="ListParagraph"/>
              <w:numPr>
                <w:ilvl w:val="0"/>
                <w:numId w:val="20"/>
              </w:numPr>
              <w:spacing w:after="160" w:line="259" w:lineRule="auto"/>
              <w:rPr>
                <w:rFonts w:cs="Arial"/>
              </w:rPr>
            </w:pPr>
            <w:r w:rsidRPr="00127B7A">
              <w:rPr>
                <w:rFonts w:cs="Arial"/>
              </w:rPr>
              <w:t xml:space="preserve">Inclusion of any functions/teams </w:t>
            </w:r>
            <w:proofErr w:type="spellStart"/>
            <w:r w:rsidRPr="00127B7A">
              <w:rPr>
                <w:rFonts w:cs="Arial"/>
              </w:rPr>
              <w:t>outwith</w:t>
            </w:r>
            <w:proofErr w:type="spellEnd"/>
            <w:r w:rsidRPr="00127B7A">
              <w:rPr>
                <w:rFonts w:cs="Arial"/>
              </w:rPr>
              <w:t xml:space="preserve"> emergency planning and resilience but who are responsible for dealing with emergencies</w:t>
            </w:r>
            <w:r w:rsidR="00127B7A" w:rsidRPr="00127B7A">
              <w:rPr>
                <w:rFonts w:cs="Arial"/>
              </w:rPr>
              <w:t xml:space="preserve"> (</w:t>
            </w:r>
            <w:r w:rsidR="004538ED" w:rsidRPr="00127B7A">
              <w:rPr>
                <w:rFonts w:cs="Arial"/>
              </w:rPr>
              <w:t>i.e.</w:t>
            </w:r>
            <w:r w:rsidR="00127B7A" w:rsidRPr="00127B7A">
              <w:rPr>
                <w:rFonts w:cs="Arial"/>
              </w:rPr>
              <w:t xml:space="preserve"> flooding teams/roads etc).</w:t>
            </w:r>
          </w:p>
          <w:p w14:paraId="532556E1" w14:textId="2D75F82A" w:rsidR="008546D6" w:rsidRPr="007D6505" w:rsidRDefault="36DE6948" w:rsidP="007E708B">
            <w:pPr>
              <w:pStyle w:val="ListParagraph"/>
              <w:numPr>
                <w:ilvl w:val="0"/>
                <w:numId w:val="20"/>
              </w:numPr>
              <w:spacing w:after="160" w:line="259" w:lineRule="auto"/>
              <w:rPr>
                <w:rFonts w:cs="Arial"/>
              </w:rPr>
            </w:pPr>
            <w:r w:rsidRPr="191141EE">
              <w:rPr>
                <w:rFonts w:cs="Arial"/>
              </w:rPr>
              <w:t>S</w:t>
            </w:r>
            <w:r w:rsidR="4351C9BB" w:rsidRPr="191141EE">
              <w:rPr>
                <w:rFonts w:cs="Arial"/>
              </w:rPr>
              <w:t>hared Chief Executive (Gold Level</w:t>
            </w:r>
            <w:r w:rsidRPr="191141EE">
              <w:rPr>
                <w:rFonts w:cs="Arial"/>
              </w:rPr>
              <w:t xml:space="preserve"> Command</w:t>
            </w:r>
            <w:r w:rsidR="4351C9BB" w:rsidRPr="191141EE">
              <w:rPr>
                <w:rFonts w:cs="Arial"/>
              </w:rPr>
              <w:t>) ownership of civil contingency responsibilities</w:t>
            </w:r>
            <w:r w:rsidRPr="191141EE">
              <w:rPr>
                <w:rFonts w:cs="Arial"/>
              </w:rPr>
              <w:t>.</w:t>
            </w:r>
          </w:p>
          <w:p w14:paraId="011DB975" w14:textId="03557086" w:rsidR="008546D6" w:rsidRPr="007D6505" w:rsidRDefault="48A23344" w:rsidP="191141EE">
            <w:pPr>
              <w:spacing w:after="160" w:line="259" w:lineRule="auto"/>
              <w:rPr>
                <w:rFonts w:eastAsia="Arial" w:cs="Arial"/>
                <w:color w:val="000000" w:themeColor="text1"/>
              </w:rPr>
            </w:pPr>
            <w:r w:rsidRPr="191141EE">
              <w:rPr>
                <w:rFonts w:eastAsia="Arial" w:cs="Arial"/>
                <w:color w:val="000000" w:themeColor="text1"/>
                <w:lang w:val="en-US"/>
              </w:rPr>
              <w:t xml:space="preserve">As this work develops, future areas of work, currently marked as out of scope, may be identified to be considered in scope. </w:t>
            </w:r>
            <w:r w:rsidRPr="191141EE">
              <w:rPr>
                <w:rFonts w:eastAsia="Arial" w:cs="Arial"/>
                <w:color w:val="000000" w:themeColor="text1"/>
              </w:rPr>
              <w:t xml:space="preserve"> </w:t>
            </w:r>
          </w:p>
        </w:tc>
      </w:tr>
    </w:tbl>
    <w:p w14:paraId="702C8636" w14:textId="77777777" w:rsidR="00127B7A" w:rsidRDefault="00127B7A" w:rsidP="007E708B">
      <w:pPr>
        <w:rPr>
          <w:lang w:val="en-US"/>
        </w:rPr>
      </w:pPr>
    </w:p>
    <w:p w14:paraId="6576493A" w14:textId="77777777" w:rsidR="00127B7A" w:rsidRPr="007E708B" w:rsidRDefault="00127B7A" w:rsidP="007E708B">
      <w:pPr>
        <w:rPr>
          <w:lang w:val="en-US"/>
        </w:rPr>
      </w:pPr>
    </w:p>
    <w:p w14:paraId="4B7798CC" w14:textId="77777777" w:rsidR="009D72C4" w:rsidRDefault="009D72C4">
      <w:pPr>
        <w:spacing w:after="160" w:line="278" w:lineRule="auto"/>
        <w:rPr>
          <w:rFonts w:eastAsiaTheme="majorEastAsia" w:cstheme="majorBidi"/>
          <w:b/>
          <w:szCs w:val="32"/>
          <w:lang w:val="en-US"/>
        </w:rPr>
      </w:pPr>
      <w:r>
        <w:rPr>
          <w:lang w:val="en-US"/>
        </w:rPr>
        <w:br w:type="page"/>
      </w:r>
    </w:p>
    <w:p w14:paraId="5BA70ABD" w14:textId="12832037" w:rsidR="007E708B" w:rsidRDefault="007E708B" w:rsidP="00486767">
      <w:pPr>
        <w:pStyle w:val="Heading1"/>
        <w:tabs>
          <w:tab w:val="left" w:pos="709"/>
        </w:tabs>
        <w:rPr>
          <w:lang w:val="en-US"/>
        </w:rPr>
      </w:pPr>
      <w:r w:rsidRPr="007E708B">
        <w:rPr>
          <w:lang w:val="en-US"/>
        </w:rPr>
        <w:lastRenderedPageBreak/>
        <w:t>4.</w:t>
      </w:r>
      <w:r w:rsidR="007560F4">
        <w:rPr>
          <w:lang w:val="en-US"/>
        </w:rPr>
        <w:tab/>
      </w:r>
      <w:r w:rsidRPr="007E708B">
        <w:rPr>
          <w:lang w:val="en-US"/>
        </w:rPr>
        <w:t>Design Principles</w:t>
      </w:r>
    </w:p>
    <w:p w14:paraId="4E05BB41" w14:textId="77777777" w:rsidR="007560F4" w:rsidRDefault="007560F4" w:rsidP="007560F4">
      <w:pPr>
        <w:rPr>
          <w:lang w:val="en-US"/>
        </w:rPr>
      </w:pPr>
    </w:p>
    <w:p w14:paraId="2FACE079" w14:textId="77777777" w:rsidR="001250DE" w:rsidRDefault="2C458042" w:rsidP="001250DE">
      <w:pPr>
        <w:pStyle w:val="Bullet"/>
        <w:ind w:leftChars="295" w:left="1132" w:hanging="424"/>
      </w:pPr>
      <w:r>
        <w:t>Scalable – the model should be able to be scaled up beyond the initial two partner Councils to enable other Councils to join for a wider partnership</w:t>
      </w:r>
    </w:p>
    <w:p w14:paraId="53625EF7" w14:textId="2AE85FB8" w:rsidR="007E708B" w:rsidRPr="007E708B" w:rsidRDefault="2C458042" w:rsidP="001250DE">
      <w:pPr>
        <w:pStyle w:val="Bullet"/>
        <w:ind w:leftChars="295" w:left="1132" w:hanging="424"/>
      </w:pPr>
      <w:r>
        <w:t>Significant – the approach to collaboration must provide significant and measurable financial benefits which outweigh the cost of implementation</w:t>
      </w:r>
    </w:p>
    <w:p w14:paraId="7FE20ECE" w14:textId="77777777" w:rsidR="007E708B" w:rsidRPr="007E708B" w:rsidRDefault="2C458042" w:rsidP="001250DE">
      <w:pPr>
        <w:pStyle w:val="Bullet"/>
        <w:ind w:leftChars="295" w:left="1132" w:hanging="424"/>
      </w:pPr>
      <w:r>
        <w:t>Flexible and form agnostic – any model should be flexible enough to adapt to change over time</w:t>
      </w:r>
    </w:p>
    <w:p w14:paraId="1E5EF650" w14:textId="77777777" w:rsidR="007E708B" w:rsidRPr="007E708B" w:rsidRDefault="2C458042" w:rsidP="001250DE">
      <w:pPr>
        <w:pStyle w:val="Bullet"/>
        <w:ind w:leftChars="295" w:left="1132" w:hanging="424"/>
      </w:pPr>
      <w:r>
        <w:t>Proven outcomes for communities – there should be benefits to the community we serve either through improved services or through the release of expenditure which can support higher priority services</w:t>
      </w:r>
    </w:p>
    <w:p w14:paraId="3C1C301B" w14:textId="77777777" w:rsidR="007E708B" w:rsidRPr="007E708B" w:rsidRDefault="2C458042" w:rsidP="001250DE">
      <w:pPr>
        <w:pStyle w:val="Bullet"/>
        <w:ind w:leftChars="295" w:left="1132" w:hanging="424"/>
      </w:pPr>
      <w:r>
        <w:t>Strategically aligned – there should be an alignment to the goals of the partner Councils</w:t>
      </w:r>
    </w:p>
    <w:p w14:paraId="206E5BDE" w14:textId="77777777" w:rsidR="007E708B" w:rsidRPr="007E708B" w:rsidRDefault="2C458042" w:rsidP="001250DE">
      <w:pPr>
        <w:pStyle w:val="Bullet"/>
        <w:ind w:leftChars="295" w:left="1132" w:hanging="424"/>
      </w:pPr>
      <w:r>
        <w:t>Sustainable – the approach taken must be future proofed to ensure long term success</w:t>
      </w:r>
    </w:p>
    <w:p w14:paraId="44C7283E" w14:textId="77777777" w:rsidR="007E708B" w:rsidRPr="007E708B" w:rsidRDefault="2C458042" w:rsidP="001250DE">
      <w:pPr>
        <w:pStyle w:val="Bullet"/>
        <w:ind w:leftChars="295" w:left="1132" w:hanging="424"/>
      </w:pPr>
      <w:r>
        <w:t xml:space="preserve">Transformative and ambitious – continuous improvement and innovation must drive the model forward, and focus on digital by default where applicable </w:t>
      </w:r>
    </w:p>
    <w:p w14:paraId="275FAF23" w14:textId="77777777" w:rsidR="007E708B" w:rsidRPr="007E708B" w:rsidRDefault="2C458042" w:rsidP="001250DE">
      <w:pPr>
        <w:pStyle w:val="Bullet"/>
        <w:ind w:leftChars="295" w:left="1132" w:hanging="424"/>
      </w:pPr>
      <w:r>
        <w:t>Fair and equitable – the approach must deliver benefits for partner Councils in proportion to their resources and investment given the likely disparity in size of Councils.</w:t>
      </w:r>
    </w:p>
    <w:p w14:paraId="1CCE98AD" w14:textId="77777777" w:rsidR="007E708B" w:rsidRDefault="007E708B" w:rsidP="007E708B">
      <w:pPr>
        <w:rPr>
          <w:lang w:val="en-US"/>
        </w:rPr>
      </w:pPr>
    </w:p>
    <w:p w14:paraId="1A31CD68" w14:textId="7F1727C9" w:rsidR="00AD7057" w:rsidRDefault="3B62F17F" w:rsidP="007E708B">
      <w:pPr>
        <w:rPr>
          <w:lang w:val="en-US"/>
        </w:rPr>
      </w:pPr>
      <w:r w:rsidRPr="3B62F17F">
        <w:rPr>
          <w:lang w:val="en-US"/>
        </w:rPr>
        <w:t>Please indicate below how this workstream aims to achieve the above noted design principles:</w:t>
      </w:r>
    </w:p>
    <w:p w14:paraId="2B22CB6C" w14:textId="77777777" w:rsidR="00D6359E" w:rsidRDefault="00D6359E" w:rsidP="007E708B">
      <w:pPr>
        <w:rPr>
          <w:lang w:val="en-US"/>
        </w:rPr>
      </w:pPr>
    </w:p>
    <w:tbl>
      <w:tblPr>
        <w:tblStyle w:val="TableGrid"/>
        <w:tblW w:w="9628" w:type="dxa"/>
        <w:tblInd w:w="704" w:type="dxa"/>
        <w:tblLook w:val="04A0" w:firstRow="1" w:lastRow="0" w:firstColumn="1" w:lastColumn="0" w:noHBand="0" w:noVBand="1"/>
      </w:tblPr>
      <w:tblGrid>
        <w:gridCol w:w="9628"/>
      </w:tblGrid>
      <w:tr w:rsidR="00AD7057" w:rsidRPr="008546D6" w14:paraId="7E92BBBF" w14:textId="77777777" w:rsidTr="64D1FFB9">
        <w:trPr>
          <w:trHeight w:val="300"/>
        </w:trPr>
        <w:tc>
          <w:tcPr>
            <w:tcW w:w="9628" w:type="dxa"/>
            <w:shd w:val="clear" w:color="auto" w:fill="196B24" w:themeFill="accent3"/>
          </w:tcPr>
          <w:p w14:paraId="09AE4B7D" w14:textId="124CC031" w:rsidR="00AD7057" w:rsidRPr="008546D6" w:rsidRDefault="3B62F17F" w:rsidP="00FF04ED">
            <w:pPr>
              <w:spacing w:before="60" w:after="60"/>
              <w:rPr>
                <w:b/>
                <w:bCs/>
                <w:color w:val="FFFFFF" w:themeColor="background1"/>
                <w:lang w:val="en-US"/>
              </w:rPr>
            </w:pPr>
            <w:r w:rsidRPr="3B62F17F">
              <w:rPr>
                <w:b/>
                <w:bCs/>
                <w:color w:val="FFFFFF" w:themeColor="background1"/>
                <w:lang w:val="en-US"/>
              </w:rPr>
              <w:t>Scalable</w:t>
            </w:r>
          </w:p>
        </w:tc>
      </w:tr>
      <w:tr w:rsidR="00AD7057" w14:paraId="11734D96" w14:textId="77777777" w:rsidTr="64D1FFB9">
        <w:trPr>
          <w:trHeight w:val="300"/>
        </w:trPr>
        <w:tc>
          <w:tcPr>
            <w:tcW w:w="9628" w:type="dxa"/>
          </w:tcPr>
          <w:p w14:paraId="5E398E34" w14:textId="77777777" w:rsidR="00AD7057" w:rsidRDefault="00AD7057" w:rsidP="00FF04ED">
            <w:pPr>
              <w:rPr>
                <w:u w:val="single"/>
                <w:lang w:val="en-US"/>
              </w:rPr>
            </w:pPr>
          </w:p>
          <w:p w14:paraId="171F4F2B" w14:textId="36C30A2A" w:rsidR="0032659F" w:rsidRPr="004F0639" w:rsidRDefault="0032659F" w:rsidP="00FF04ED">
            <w:pPr>
              <w:rPr>
                <w:lang w:val="en-US"/>
              </w:rPr>
            </w:pPr>
            <w:r w:rsidRPr="64D1FFB9">
              <w:rPr>
                <w:lang w:val="en-US"/>
              </w:rPr>
              <w:t>There is nothing included in the scoping which would prevent additional Councils</w:t>
            </w:r>
            <w:r w:rsidR="006A3DA7" w:rsidRPr="64D1FFB9">
              <w:rPr>
                <w:lang w:val="en-US"/>
              </w:rPr>
              <w:t xml:space="preserve"> </w:t>
            </w:r>
            <w:r w:rsidR="00F023C3" w:rsidRPr="64D1FFB9">
              <w:rPr>
                <w:lang w:val="en-US"/>
              </w:rPr>
              <w:t>participating in the future</w:t>
            </w:r>
            <w:r w:rsidR="00AD015D" w:rsidRPr="64D1FFB9">
              <w:rPr>
                <w:lang w:val="en-US"/>
              </w:rPr>
              <w:t xml:space="preserve">. </w:t>
            </w:r>
            <w:r w:rsidR="00F023C3" w:rsidRPr="64D1FFB9">
              <w:rPr>
                <w:lang w:val="en-US"/>
              </w:rPr>
              <w:t xml:space="preserve">Examples in Ayrshire, </w:t>
            </w:r>
            <w:r w:rsidR="00AD015D" w:rsidRPr="64D1FFB9">
              <w:rPr>
                <w:lang w:val="en-US"/>
              </w:rPr>
              <w:t>Renfrewshire,</w:t>
            </w:r>
            <w:r w:rsidR="00F023C3" w:rsidRPr="64D1FFB9">
              <w:rPr>
                <w:lang w:val="en-US"/>
              </w:rPr>
              <w:t xml:space="preserve"> and Aberdeenshire</w:t>
            </w:r>
            <w:r w:rsidR="00B83460" w:rsidRPr="64D1FFB9">
              <w:rPr>
                <w:lang w:val="en-US"/>
              </w:rPr>
              <w:t>, which are</w:t>
            </w:r>
            <w:r w:rsidR="007A30E8" w:rsidRPr="64D1FFB9">
              <w:rPr>
                <w:lang w:val="en-US"/>
              </w:rPr>
              <w:t xml:space="preserve"> well established and</w:t>
            </w:r>
            <w:r w:rsidR="00B83460" w:rsidRPr="64D1FFB9">
              <w:rPr>
                <w:lang w:val="en-US"/>
              </w:rPr>
              <w:t xml:space="preserve"> </w:t>
            </w:r>
            <w:r w:rsidR="00A015EC" w:rsidRPr="64D1FFB9">
              <w:rPr>
                <w:lang w:val="en-US"/>
              </w:rPr>
              <w:t xml:space="preserve">include </w:t>
            </w:r>
            <w:r w:rsidR="00B83460" w:rsidRPr="64D1FFB9">
              <w:rPr>
                <w:lang w:val="en-US"/>
              </w:rPr>
              <w:t xml:space="preserve">similar </w:t>
            </w:r>
            <w:r w:rsidR="007A30E8" w:rsidRPr="64D1FFB9">
              <w:rPr>
                <w:lang w:val="en-US"/>
              </w:rPr>
              <w:t xml:space="preserve">integrated </w:t>
            </w:r>
            <w:r w:rsidR="00A015EC" w:rsidRPr="64D1FFB9">
              <w:rPr>
                <w:lang w:val="en-US"/>
              </w:rPr>
              <w:t>functions operate between multiple Councils</w:t>
            </w:r>
            <w:r w:rsidR="00CA092D" w:rsidRPr="64D1FFB9">
              <w:rPr>
                <w:lang w:val="en-US"/>
              </w:rPr>
              <w:t>.</w:t>
            </w:r>
            <w:r w:rsidR="00840008" w:rsidRPr="64D1FFB9">
              <w:rPr>
                <w:lang w:val="en-US"/>
              </w:rPr>
              <w:t xml:space="preserve"> </w:t>
            </w:r>
            <w:r w:rsidR="00CA092D" w:rsidRPr="64D1FFB9">
              <w:rPr>
                <w:lang w:val="en-US"/>
              </w:rPr>
              <w:t xml:space="preserve"> </w:t>
            </w:r>
            <w:r w:rsidR="000F3932" w:rsidRPr="64D1FFB9">
              <w:rPr>
                <w:lang w:val="en-US"/>
              </w:rPr>
              <w:t>Based on this</w:t>
            </w:r>
            <w:r w:rsidR="00C463F3" w:rsidRPr="64D1FFB9">
              <w:rPr>
                <w:lang w:val="en-US"/>
              </w:rPr>
              <w:t xml:space="preserve"> a scalable model is considered feasible </w:t>
            </w:r>
            <w:r w:rsidR="00F33B22" w:rsidRPr="64D1FFB9">
              <w:rPr>
                <w:lang w:val="en-US"/>
              </w:rPr>
              <w:t xml:space="preserve">at this stage but </w:t>
            </w:r>
            <w:r w:rsidR="004F0639" w:rsidRPr="64D1FFB9">
              <w:rPr>
                <w:lang w:val="en-US"/>
              </w:rPr>
              <w:t>further exploration will be undertake</w:t>
            </w:r>
            <w:r w:rsidR="003D03BA" w:rsidRPr="64D1FFB9">
              <w:rPr>
                <w:lang w:val="en-US"/>
              </w:rPr>
              <w:t xml:space="preserve">n as part of the review. </w:t>
            </w:r>
          </w:p>
          <w:p w14:paraId="6FCFC988" w14:textId="77777777" w:rsidR="00AD7057" w:rsidRDefault="00AD7057" w:rsidP="00FF04ED">
            <w:pPr>
              <w:rPr>
                <w:u w:val="single"/>
                <w:lang w:val="en-US"/>
              </w:rPr>
            </w:pPr>
          </w:p>
        </w:tc>
      </w:tr>
      <w:tr w:rsidR="00AD7057" w:rsidRPr="00855077" w14:paraId="76BA01BF" w14:textId="77777777" w:rsidTr="64D1FFB9">
        <w:trPr>
          <w:trHeight w:val="300"/>
        </w:trPr>
        <w:tc>
          <w:tcPr>
            <w:tcW w:w="9628" w:type="dxa"/>
            <w:shd w:val="clear" w:color="auto" w:fill="196B24" w:themeFill="accent3"/>
          </w:tcPr>
          <w:p w14:paraId="0F742B9E" w14:textId="74BBF2CA" w:rsidR="00AD7057" w:rsidRPr="008546D6" w:rsidRDefault="3B62F17F" w:rsidP="00FF04ED">
            <w:pPr>
              <w:spacing w:before="60" w:after="60"/>
              <w:rPr>
                <w:b/>
                <w:bCs/>
                <w:color w:val="FFFFFF" w:themeColor="background1"/>
                <w:lang w:val="en-US"/>
              </w:rPr>
            </w:pPr>
            <w:r w:rsidRPr="3B62F17F">
              <w:rPr>
                <w:b/>
                <w:bCs/>
                <w:color w:val="FFFFFF" w:themeColor="background1"/>
                <w:lang w:val="en-US"/>
              </w:rPr>
              <w:t xml:space="preserve">Significant </w:t>
            </w:r>
          </w:p>
        </w:tc>
      </w:tr>
      <w:tr w:rsidR="00AD7057" w14:paraId="641CC6D6" w14:textId="77777777" w:rsidTr="64D1FFB9">
        <w:trPr>
          <w:trHeight w:val="300"/>
        </w:trPr>
        <w:tc>
          <w:tcPr>
            <w:tcW w:w="9628" w:type="dxa"/>
          </w:tcPr>
          <w:p w14:paraId="58E1E2D0" w14:textId="77777777" w:rsidR="00AD7057" w:rsidRDefault="00AD7057" w:rsidP="00FF04ED">
            <w:pPr>
              <w:rPr>
                <w:u w:val="single"/>
                <w:lang w:val="en-US"/>
              </w:rPr>
            </w:pPr>
          </w:p>
          <w:p w14:paraId="6CC72B17" w14:textId="1FDD4875" w:rsidR="00AD7057" w:rsidRPr="008D0210" w:rsidRDefault="003D03BA" w:rsidP="00FF04ED">
            <w:pPr>
              <w:rPr>
                <w:lang w:val="en-US"/>
              </w:rPr>
            </w:pPr>
            <w:r w:rsidRPr="008D0210">
              <w:rPr>
                <w:lang w:val="en-US"/>
              </w:rPr>
              <w:t xml:space="preserve">Section one </w:t>
            </w:r>
            <w:r w:rsidR="00097D40" w:rsidRPr="008D0210">
              <w:rPr>
                <w:lang w:val="en-US"/>
              </w:rPr>
              <w:t>highlights</w:t>
            </w:r>
            <w:r w:rsidR="001722EE" w:rsidRPr="008D0210">
              <w:rPr>
                <w:lang w:val="en-US"/>
              </w:rPr>
              <w:t xml:space="preserve"> the</w:t>
            </w:r>
            <w:r w:rsidR="00097D40" w:rsidRPr="008D0210">
              <w:rPr>
                <w:lang w:val="en-US"/>
              </w:rPr>
              <w:t xml:space="preserve"> potential benefits </w:t>
            </w:r>
            <w:r w:rsidR="001722EE" w:rsidRPr="008D0210">
              <w:rPr>
                <w:lang w:val="en-US"/>
              </w:rPr>
              <w:t xml:space="preserve">and opportunities </w:t>
            </w:r>
            <w:r w:rsidR="00A91BF3" w:rsidRPr="008D0210">
              <w:rPr>
                <w:lang w:val="en-US"/>
              </w:rPr>
              <w:t>from the workstream, based on evaluation from</w:t>
            </w:r>
            <w:r w:rsidR="008D0210" w:rsidRPr="008D0210">
              <w:rPr>
                <w:lang w:val="en-US"/>
              </w:rPr>
              <w:t xml:space="preserve"> previously cited examples in Scottish Local Authorities</w:t>
            </w:r>
            <w:r w:rsidR="00CA092D" w:rsidRPr="008D0210">
              <w:rPr>
                <w:lang w:val="en-US"/>
              </w:rPr>
              <w:t xml:space="preserve">. </w:t>
            </w:r>
            <w:r w:rsidR="00867555">
              <w:rPr>
                <w:lang w:val="en-US"/>
              </w:rPr>
              <w:t xml:space="preserve">Costs of implementation, efficiencies and non-financial benefits will be considered </w:t>
            </w:r>
            <w:r w:rsidR="002F3633">
              <w:rPr>
                <w:lang w:val="en-US"/>
              </w:rPr>
              <w:t xml:space="preserve">in the full business case. </w:t>
            </w:r>
          </w:p>
          <w:p w14:paraId="2FCCEFEB" w14:textId="77777777" w:rsidR="00AD7057" w:rsidRDefault="00AD7057" w:rsidP="00FF04ED">
            <w:pPr>
              <w:rPr>
                <w:u w:val="single"/>
                <w:lang w:val="en-US"/>
              </w:rPr>
            </w:pPr>
          </w:p>
        </w:tc>
      </w:tr>
      <w:tr w:rsidR="00D6359E" w14:paraId="25435C8D" w14:textId="77777777" w:rsidTr="64D1FFB9">
        <w:trPr>
          <w:trHeight w:val="300"/>
        </w:trPr>
        <w:tc>
          <w:tcPr>
            <w:tcW w:w="9628" w:type="dxa"/>
            <w:shd w:val="clear" w:color="auto" w:fill="196B24" w:themeFill="accent3"/>
          </w:tcPr>
          <w:p w14:paraId="23E863A4" w14:textId="26B4E38E" w:rsidR="00D6359E" w:rsidRPr="000652C6" w:rsidRDefault="3B62F17F" w:rsidP="00FF04ED">
            <w:pPr>
              <w:rPr>
                <w:b/>
                <w:bCs/>
                <w:lang w:val="en-US"/>
              </w:rPr>
            </w:pPr>
            <w:r w:rsidRPr="000652C6">
              <w:rPr>
                <w:b/>
                <w:bCs/>
                <w:color w:val="FFFFFF" w:themeColor="background1"/>
              </w:rPr>
              <w:t>Flexible and form agnostic</w:t>
            </w:r>
          </w:p>
        </w:tc>
      </w:tr>
      <w:tr w:rsidR="00D6359E" w14:paraId="2368BE0C" w14:textId="77777777" w:rsidTr="64D1FFB9">
        <w:trPr>
          <w:trHeight w:val="300"/>
        </w:trPr>
        <w:tc>
          <w:tcPr>
            <w:tcW w:w="9628" w:type="dxa"/>
          </w:tcPr>
          <w:p w14:paraId="4B4F129B" w14:textId="77777777" w:rsidR="00D6359E" w:rsidRPr="00D6359E" w:rsidRDefault="00D6359E" w:rsidP="00FF04ED">
            <w:pPr>
              <w:rPr>
                <w:b/>
                <w:bCs/>
                <w:u w:val="single"/>
                <w:lang w:val="en-US"/>
              </w:rPr>
            </w:pPr>
          </w:p>
          <w:p w14:paraId="6297CAC5" w14:textId="0E95D1AF" w:rsidR="00D6359E" w:rsidRPr="00E3720B" w:rsidRDefault="004F205A" w:rsidP="00FF04ED">
            <w:pPr>
              <w:rPr>
                <w:lang w:val="en-US"/>
              </w:rPr>
            </w:pPr>
            <w:r w:rsidRPr="00E3720B">
              <w:rPr>
                <w:lang w:val="en-US"/>
              </w:rPr>
              <w:t xml:space="preserve">Adaptability and flexibility </w:t>
            </w:r>
            <w:r w:rsidR="006C2D4A" w:rsidRPr="00E3720B">
              <w:rPr>
                <w:lang w:val="en-US"/>
              </w:rPr>
              <w:t xml:space="preserve">will be considered as part of an integrated operating model; this is </w:t>
            </w:r>
            <w:r w:rsidR="00C17D46" w:rsidRPr="00E3720B">
              <w:rPr>
                <w:lang w:val="en-US"/>
              </w:rPr>
              <w:t xml:space="preserve">considered </w:t>
            </w:r>
            <w:r w:rsidR="006C2D4A" w:rsidRPr="00E3720B">
              <w:rPr>
                <w:lang w:val="en-US"/>
              </w:rPr>
              <w:t xml:space="preserve">necessary </w:t>
            </w:r>
            <w:r w:rsidR="00C17D46" w:rsidRPr="00E3720B">
              <w:rPr>
                <w:lang w:val="en-US"/>
              </w:rPr>
              <w:t>to respond to the unpredictable nature of emergency planning incident response, and the</w:t>
            </w:r>
            <w:r w:rsidR="0093076C" w:rsidRPr="00E3720B">
              <w:rPr>
                <w:lang w:val="en-US"/>
              </w:rPr>
              <w:t xml:space="preserve"> emerging requirements under the Protect Duty (Martyn’s law)</w:t>
            </w:r>
            <w:r w:rsidR="00CA092D" w:rsidRPr="00E3720B">
              <w:rPr>
                <w:lang w:val="en-US"/>
              </w:rPr>
              <w:t xml:space="preserve">. </w:t>
            </w:r>
          </w:p>
          <w:p w14:paraId="3EAA3965" w14:textId="77777777" w:rsidR="00D6359E" w:rsidRPr="00D6359E" w:rsidRDefault="00D6359E" w:rsidP="00FF04ED">
            <w:pPr>
              <w:rPr>
                <w:b/>
                <w:bCs/>
                <w:u w:val="single"/>
                <w:lang w:val="en-US"/>
              </w:rPr>
            </w:pPr>
          </w:p>
        </w:tc>
      </w:tr>
    </w:tbl>
    <w:p w14:paraId="34E6DCDD" w14:textId="77777777" w:rsidR="001250DE" w:rsidRDefault="001250DE">
      <w:r>
        <w:br w:type="page"/>
      </w:r>
    </w:p>
    <w:tbl>
      <w:tblPr>
        <w:tblStyle w:val="TableGrid"/>
        <w:tblW w:w="9628" w:type="dxa"/>
        <w:tblInd w:w="704" w:type="dxa"/>
        <w:tblLook w:val="04A0" w:firstRow="1" w:lastRow="0" w:firstColumn="1" w:lastColumn="0" w:noHBand="0" w:noVBand="1"/>
      </w:tblPr>
      <w:tblGrid>
        <w:gridCol w:w="9628"/>
      </w:tblGrid>
      <w:tr w:rsidR="00D6359E" w14:paraId="46A71D0F" w14:textId="77777777" w:rsidTr="64D1FFB9">
        <w:trPr>
          <w:trHeight w:val="300"/>
        </w:trPr>
        <w:tc>
          <w:tcPr>
            <w:tcW w:w="9628" w:type="dxa"/>
            <w:shd w:val="clear" w:color="auto" w:fill="196B24" w:themeFill="accent3"/>
          </w:tcPr>
          <w:p w14:paraId="17C39E93" w14:textId="3591C95E" w:rsidR="00D6359E" w:rsidRPr="000652C6" w:rsidRDefault="3B62F17F" w:rsidP="00FF04ED">
            <w:pPr>
              <w:rPr>
                <w:b/>
                <w:bCs/>
                <w:lang w:val="en-US"/>
              </w:rPr>
            </w:pPr>
            <w:r w:rsidRPr="000652C6">
              <w:rPr>
                <w:b/>
                <w:bCs/>
                <w:color w:val="FFFFFF" w:themeColor="background1"/>
              </w:rPr>
              <w:lastRenderedPageBreak/>
              <w:t>Proven outcomes for communities</w:t>
            </w:r>
          </w:p>
        </w:tc>
      </w:tr>
      <w:tr w:rsidR="00D6359E" w14:paraId="10C15F95" w14:textId="77777777" w:rsidTr="64D1FFB9">
        <w:trPr>
          <w:trHeight w:val="300"/>
        </w:trPr>
        <w:tc>
          <w:tcPr>
            <w:tcW w:w="9628" w:type="dxa"/>
          </w:tcPr>
          <w:p w14:paraId="45BAC94A" w14:textId="77777777" w:rsidR="00D6359E" w:rsidRPr="000652C6" w:rsidRDefault="00D6359E" w:rsidP="00FF04ED">
            <w:pPr>
              <w:rPr>
                <w:b/>
                <w:bCs/>
                <w:lang w:val="en-US"/>
              </w:rPr>
            </w:pPr>
          </w:p>
          <w:p w14:paraId="39977D00" w14:textId="3A0D9968" w:rsidR="00D6359E" w:rsidRPr="005C4B9C" w:rsidRDefault="008C7BDF" w:rsidP="00FF04ED">
            <w:pPr>
              <w:rPr>
                <w:lang w:val="en-US"/>
              </w:rPr>
            </w:pPr>
            <w:r w:rsidRPr="005C4B9C">
              <w:rPr>
                <w:lang w:val="en-US"/>
              </w:rPr>
              <w:t>The potential benefits highlighted in section one will directly benefit</w:t>
            </w:r>
            <w:r w:rsidR="002107E8" w:rsidRPr="005C4B9C">
              <w:rPr>
                <w:lang w:val="en-US"/>
              </w:rPr>
              <w:t xml:space="preserve"> communities</w:t>
            </w:r>
            <w:r w:rsidR="00A55467">
              <w:rPr>
                <w:lang w:val="en-US"/>
              </w:rPr>
              <w:t xml:space="preserve">; </w:t>
            </w:r>
            <w:r w:rsidR="002107E8" w:rsidRPr="005C4B9C">
              <w:rPr>
                <w:lang w:val="en-US"/>
              </w:rPr>
              <w:t>providing enhanced preparedness</w:t>
            </w:r>
            <w:r w:rsidR="00BB6EE4" w:rsidRPr="005C4B9C">
              <w:rPr>
                <w:lang w:val="en-US"/>
              </w:rPr>
              <w:t xml:space="preserve">, </w:t>
            </w:r>
            <w:r w:rsidR="00CA092D" w:rsidRPr="005C4B9C">
              <w:rPr>
                <w:lang w:val="en-US"/>
              </w:rPr>
              <w:t>information,</w:t>
            </w:r>
            <w:r w:rsidR="00BB6EE4" w:rsidRPr="005C4B9C">
              <w:rPr>
                <w:lang w:val="en-US"/>
              </w:rPr>
              <w:t xml:space="preserve"> and advice, as well as enabling both Councils to meet statutory requirements to work to support both the voluntary and business sector. </w:t>
            </w:r>
            <w:r w:rsidR="00840008">
              <w:rPr>
                <w:lang w:val="en-US"/>
              </w:rPr>
              <w:t xml:space="preserve"> </w:t>
            </w:r>
            <w:r w:rsidR="00647035" w:rsidRPr="005C4B9C">
              <w:rPr>
                <w:lang w:val="en-US"/>
              </w:rPr>
              <w:t xml:space="preserve">More efficient </w:t>
            </w:r>
            <w:r w:rsidR="00162D16">
              <w:rPr>
                <w:lang w:val="en-US"/>
              </w:rPr>
              <w:t xml:space="preserve">and 24/7 </w:t>
            </w:r>
            <w:r w:rsidR="00401ADE" w:rsidRPr="005C4B9C">
              <w:rPr>
                <w:lang w:val="en-US"/>
              </w:rPr>
              <w:t>responses</w:t>
            </w:r>
            <w:r w:rsidR="00162D16">
              <w:rPr>
                <w:lang w:val="en-US"/>
              </w:rPr>
              <w:t xml:space="preserve"> during </w:t>
            </w:r>
            <w:r w:rsidR="00647035" w:rsidRPr="005C4B9C">
              <w:rPr>
                <w:lang w:val="en-US"/>
              </w:rPr>
              <w:t>emergency incidents</w:t>
            </w:r>
            <w:r w:rsidR="0012151F" w:rsidRPr="005C4B9C">
              <w:rPr>
                <w:lang w:val="en-US"/>
              </w:rPr>
              <w:t xml:space="preserve"> will also directly benefit communities and residents</w:t>
            </w:r>
            <w:r w:rsidR="00353141" w:rsidRPr="005C4B9C">
              <w:rPr>
                <w:lang w:val="en-US"/>
              </w:rPr>
              <w:t xml:space="preserve"> affected</w:t>
            </w:r>
            <w:r w:rsidR="00401ADE">
              <w:rPr>
                <w:lang w:val="en-US"/>
              </w:rPr>
              <w:t xml:space="preserve"> by those incidents</w:t>
            </w:r>
            <w:r w:rsidR="00B844B7" w:rsidRPr="005C4B9C">
              <w:rPr>
                <w:lang w:val="en-US"/>
              </w:rPr>
              <w:t>.</w:t>
            </w:r>
            <w:r w:rsidR="00840008">
              <w:rPr>
                <w:lang w:val="en-US"/>
              </w:rPr>
              <w:t xml:space="preserve"> </w:t>
            </w:r>
            <w:r w:rsidR="00B844B7" w:rsidRPr="005C4B9C">
              <w:rPr>
                <w:lang w:val="en-US"/>
              </w:rPr>
              <w:t xml:space="preserve"> Better </w:t>
            </w:r>
            <w:r w:rsidR="00262AAE">
              <w:rPr>
                <w:lang w:val="en-US"/>
              </w:rPr>
              <w:t xml:space="preserve">and more efficient </w:t>
            </w:r>
            <w:r w:rsidR="00B844B7" w:rsidRPr="005C4B9C">
              <w:rPr>
                <w:lang w:val="en-US"/>
              </w:rPr>
              <w:t>use of Council resources</w:t>
            </w:r>
            <w:r w:rsidR="005C4B9C" w:rsidRPr="005C4B9C">
              <w:rPr>
                <w:lang w:val="en-US"/>
              </w:rPr>
              <w:t xml:space="preserve"> will also indirectly benefit communities</w:t>
            </w:r>
            <w:r w:rsidR="008812D2" w:rsidRPr="005C4B9C">
              <w:rPr>
                <w:lang w:val="en-US"/>
              </w:rPr>
              <w:t xml:space="preserve">. </w:t>
            </w:r>
          </w:p>
          <w:p w14:paraId="07778F4E" w14:textId="77777777" w:rsidR="00D6359E" w:rsidRPr="000652C6" w:rsidRDefault="00D6359E" w:rsidP="00FF04ED">
            <w:pPr>
              <w:rPr>
                <w:b/>
                <w:bCs/>
                <w:lang w:val="en-US"/>
              </w:rPr>
            </w:pPr>
          </w:p>
        </w:tc>
      </w:tr>
      <w:tr w:rsidR="00D6359E" w14:paraId="7A2D48D2" w14:textId="77777777" w:rsidTr="64D1FFB9">
        <w:trPr>
          <w:trHeight w:val="300"/>
        </w:trPr>
        <w:tc>
          <w:tcPr>
            <w:tcW w:w="9628" w:type="dxa"/>
            <w:shd w:val="clear" w:color="auto" w:fill="196B24" w:themeFill="accent3"/>
          </w:tcPr>
          <w:p w14:paraId="3B0CEEAD" w14:textId="3A28AE9E" w:rsidR="00D6359E" w:rsidRPr="000652C6" w:rsidRDefault="3B62F17F" w:rsidP="00FF04ED">
            <w:pPr>
              <w:rPr>
                <w:b/>
                <w:bCs/>
                <w:lang w:val="en-US"/>
              </w:rPr>
            </w:pPr>
            <w:r w:rsidRPr="000652C6">
              <w:rPr>
                <w:b/>
                <w:bCs/>
                <w:color w:val="FFFFFF" w:themeColor="background1"/>
              </w:rPr>
              <w:t>Strategically aligned</w:t>
            </w:r>
          </w:p>
        </w:tc>
      </w:tr>
      <w:tr w:rsidR="00D6359E" w14:paraId="447F256F" w14:textId="77777777" w:rsidTr="64D1FFB9">
        <w:trPr>
          <w:trHeight w:val="300"/>
        </w:trPr>
        <w:tc>
          <w:tcPr>
            <w:tcW w:w="9628" w:type="dxa"/>
          </w:tcPr>
          <w:p w14:paraId="15F96EF1" w14:textId="77777777" w:rsidR="00D6359E" w:rsidRPr="00221249" w:rsidRDefault="00D6359E" w:rsidP="00FF04ED">
            <w:pPr>
              <w:rPr>
                <w:lang w:val="en-US"/>
              </w:rPr>
            </w:pPr>
          </w:p>
          <w:p w14:paraId="28D1C39B" w14:textId="3F6894D7" w:rsidR="002F0C72" w:rsidRDefault="003E401F" w:rsidP="002F0C72">
            <w:pPr>
              <w:rPr>
                <w:lang w:val="en-US"/>
              </w:rPr>
            </w:pPr>
            <w:r w:rsidRPr="00221249">
              <w:rPr>
                <w:lang w:val="en-US"/>
              </w:rPr>
              <w:t>Each Council has statutory duties</w:t>
            </w:r>
            <w:r w:rsidR="005B112A" w:rsidRPr="00221249">
              <w:rPr>
                <w:lang w:val="en-US"/>
              </w:rPr>
              <w:t xml:space="preserve"> </w:t>
            </w:r>
            <w:r w:rsidR="00513289" w:rsidRPr="00221249">
              <w:rPr>
                <w:lang w:val="en-US"/>
              </w:rPr>
              <w:t>for emergency planning and resilience</w:t>
            </w:r>
            <w:r w:rsidR="00275F1D" w:rsidRPr="00221249">
              <w:rPr>
                <w:lang w:val="en-US"/>
              </w:rPr>
              <w:t xml:space="preserve"> under </w:t>
            </w:r>
            <w:r w:rsidR="0011271C" w:rsidRPr="00221249">
              <w:rPr>
                <w:rFonts w:cs="Arial"/>
              </w:rPr>
              <w:t xml:space="preserve">the </w:t>
            </w:r>
            <w:r w:rsidR="0011271C" w:rsidRPr="00221249">
              <w:rPr>
                <w:rFonts w:eastAsia="Times New Roman" w:cs="Arial"/>
                <w:kern w:val="0"/>
                <w:lang w:eastAsia="en-GB"/>
                <w14:ligatures w14:val="none"/>
              </w:rPr>
              <w:t>Civil Contingencies Act 2004, associated Scottish regulations, and Preparing Scotland guidance.</w:t>
            </w:r>
            <w:r w:rsidR="001250DE">
              <w:rPr>
                <w:rFonts w:eastAsia="Times New Roman" w:cs="Arial"/>
                <w:kern w:val="0"/>
                <w:lang w:eastAsia="en-GB"/>
                <w14:ligatures w14:val="none"/>
              </w:rPr>
              <w:t xml:space="preserve"> </w:t>
            </w:r>
            <w:r w:rsidR="0011271C" w:rsidRPr="00221249">
              <w:rPr>
                <w:rFonts w:eastAsia="Times New Roman" w:cs="Arial"/>
                <w:kern w:val="0"/>
                <w:lang w:eastAsia="en-GB"/>
                <w14:ligatures w14:val="none"/>
              </w:rPr>
              <w:t xml:space="preserve"> </w:t>
            </w:r>
            <w:r w:rsidR="002F0C72" w:rsidRPr="00221249">
              <w:rPr>
                <w:lang w:val="en-US"/>
              </w:rPr>
              <w:t>Emergency planning and resilience involves assessing risk to communities and service delivery, planning and implementing mitigating activity and responding alongside partners when the worst happens to recover as quickly as possible</w:t>
            </w:r>
            <w:r w:rsidR="008812D2" w:rsidRPr="00221249">
              <w:rPr>
                <w:lang w:val="en-US"/>
              </w:rPr>
              <w:t xml:space="preserve">. </w:t>
            </w:r>
          </w:p>
          <w:p w14:paraId="15EDC5AB" w14:textId="77777777" w:rsidR="002F0C72" w:rsidRPr="00221249" w:rsidRDefault="002F0C72" w:rsidP="002F0C72">
            <w:pPr>
              <w:rPr>
                <w:lang w:val="en-US"/>
              </w:rPr>
            </w:pPr>
          </w:p>
          <w:p w14:paraId="40B6AD49" w14:textId="7E8B41CF" w:rsidR="00D6359E" w:rsidRPr="001250DE" w:rsidRDefault="00F54DD5" w:rsidP="00FF04ED">
            <w:pPr>
              <w:rPr>
                <w:rFonts w:cs="Arial"/>
              </w:rPr>
            </w:pPr>
            <w:r w:rsidRPr="00221249">
              <w:rPr>
                <w:rFonts w:eastAsia="Times New Roman" w:cs="Arial"/>
                <w:kern w:val="0"/>
                <w:lang w:eastAsia="en-GB"/>
                <w14:ligatures w14:val="none"/>
              </w:rPr>
              <w:t xml:space="preserve">In </w:t>
            </w:r>
            <w:r w:rsidR="005E7F55" w:rsidRPr="00221249">
              <w:rPr>
                <w:rFonts w:eastAsia="Times New Roman" w:cs="Arial"/>
                <w:kern w:val="0"/>
                <w:lang w:eastAsia="en-GB"/>
                <w14:ligatures w14:val="none"/>
              </w:rPr>
              <w:t>addition,</w:t>
            </w:r>
            <w:r w:rsidRPr="00221249">
              <w:rPr>
                <w:rFonts w:eastAsia="Times New Roman" w:cs="Arial"/>
                <w:kern w:val="0"/>
                <w:lang w:eastAsia="en-GB"/>
                <w14:ligatures w14:val="none"/>
              </w:rPr>
              <w:t xml:space="preserve"> each Council has</w:t>
            </w:r>
            <w:r w:rsidR="005E7F55" w:rsidRPr="00221249">
              <w:rPr>
                <w:rFonts w:eastAsia="Times New Roman" w:cs="Arial"/>
                <w:kern w:val="0"/>
                <w:lang w:eastAsia="en-GB"/>
                <w14:ligatures w14:val="none"/>
              </w:rPr>
              <w:t xml:space="preserve"> defined</w:t>
            </w:r>
            <w:r w:rsidR="00FA5131" w:rsidRPr="00221249">
              <w:rPr>
                <w:rFonts w:eastAsia="Times New Roman" w:cs="Arial"/>
                <w:kern w:val="0"/>
                <w:lang w:eastAsia="en-GB"/>
                <w14:ligatures w14:val="none"/>
              </w:rPr>
              <w:t xml:space="preserve"> strategic outcomes </w:t>
            </w:r>
            <w:r w:rsidR="005E7F55" w:rsidRPr="00221249">
              <w:rPr>
                <w:rFonts w:eastAsia="Times New Roman" w:cs="Arial"/>
                <w:kern w:val="0"/>
                <w:lang w:eastAsia="en-GB"/>
                <w14:ligatures w14:val="none"/>
              </w:rPr>
              <w:t>which seek</w:t>
            </w:r>
            <w:r w:rsidR="00FD7AB4" w:rsidRPr="00221249">
              <w:rPr>
                <w:rFonts w:eastAsia="Times New Roman" w:cs="Arial"/>
                <w:kern w:val="0"/>
                <w:lang w:eastAsia="en-GB"/>
                <w14:ligatures w14:val="none"/>
              </w:rPr>
              <w:t xml:space="preserve"> to enable sustainable and thriving communities and places</w:t>
            </w:r>
            <w:r w:rsidR="00A856A1" w:rsidRPr="00221249">
              <w:rPr>
                <w:rFonts w:eastAsia="Times New Roman" w:cs="Arial"/>
                <w:kern w:val="0"/>
                <w:lang w:eastAsia="en-GB"/>
                <w14:ligatures w14:val="none"/>
              </w:rPr>
              <w:t xml:space="preserve"> which</w:t>
            </w:r>
            <w:r w:rsidR="00E831D3" w:rsidRPr="00221249">
              <w:rPr>
                <w:rFonts w:eastAsia="Times New Roman" w:cs="Arial"/>
                <w:kern w:val="0"/>
                <w:lang w:eastAsia="en-GB"/>
                <w14:ligatures w14:val="none"/>
              </w:rPr>
              <w:t xml:space="preserve"> supports </w:t>
            </w:r>
            <w:r w:rsidR="00394B88">
              <w:rPr>
                <w:rFonts w:eastAsia="Times New Roman" w:cs="Arial"/>
                <w:kern w:val="0"/>
                <w:lang w:eastAsia="en-GB"/>
                <w14:ligatures w14:val="none"/>
              </w:rPr>
              <w:t xml:space="preserve">health, </w:t>
            </w:r>
            <w:r w:rsidR="00E831D3" w:rsidRPr="00221249">
              <w:rPr>
                <w:rFonts w:eastAsia="Times New Roman" w:cs="Arial"/>
                <w:kern w:val="0"/>
                <w:lang w:eastAsia="en-GB"/>
                <w14:ligatures w14:val="none"/>
              </w:rPr>
              <w:t>wellbeing, equality and diversit</w:t>
            </w:r>
            <w:r w:rsidR="001E65F2">
              <w:rPr>
                <w:rFonts w:eastAsia="Times New Roman" w:cs="Arial"/>
                <w:kern w:val="0"/>
                <w:lang w:eastAsia="en-GB"/>
                <w14:ligatures w14:val="none"/>
              </w:rPr>
              <w:t>y – with these</w:t>
            </w:r>
            <w:r w:rsidR="00CF6F1C">
              <w:rPr>
                <w:rFonts w:eastAsia="Times New Roman" w:cs="Arial"/>
                <w:kern w:val="0"/>
                <w:lang w:eastAsia="en-GB"/>
                <w14:ligatures w14:val="none"/>
              </w:rPr>
              <w:t xml:space="preserve"> underpinned by effective and responsive arrangements for responding </w:t>
            </w:r>
            <w:r w:rsidR="000477D1">
              <w:rPr>
                <w:rFonts w:eastAsia="Times New Roman" w:cs="Arial"/>
                <w:kern w:val="0"/>
                <w:lang w:eastAsia="en-GB"/>
                <w14:ligatures w14:val="none"/>
              </w:rPr>
              <w:t>to and</w:t>
            </w:r>
            <w:r w:rsidR="00CF6F1C">
              <w:rPr>
                <w:rFonts w:eastAsia="Times New Roman" w:cs="Arial"/>
                <w:kern w:val="0"/>
                <w:lang w:eastAsia="en-GB"/>
                <w14:ligatures w14:val="none"/>
              </w:rPr>
              <w:t xml:space="preserve"> recovering from emergencies.</w:t>
            </w:r>
          </w:p>
          <w:p w14:paraId="778BAD2A" w14:textId="77777777" w:rsidR="00D6359E" w:rsidRPr="00221249" w:rsidRDefault="00D6359E" w:rsidP="002F0C72">
            <w:pPr>
              <w:rPr>
                <w:lang w:val="en-US"/>
              </w:rPr>
            </w:pPr>
          </w:p>
        </w:tc>
      </w:tr>
      <w:tr w:rsidR="00D6359E" w14:paraId="6936B8A7" w14:textId="77777777" w:rsidTr="64D1FFB9">
        <w:trPr>
          <w:trHeight w:val="300"/>
        </w:trPr>
        <w:tc>
          <w:tcPr>
            <w:tcW w:w="9628" w:type="dxa"/>
            <w:shd w:val="clear" w:color="auto" w:fill="196B24" w:themeFill="accent3"/>
          </w:tcPr>
          <w:p w14:paraId="39681692" w14:textId="1B87C605" w:rsidR="00D6359E" w:rsidRPr="000652C6" w:rsidRDefault="000652C6" w:rsidP="00FF04ED">
            <w:pPr>
              <w:rPr>
                <w:b/>
                <w:bCs/>
                <w:lang w:val="en-US"/>
              </w:rPr>
            </w:pPr>
            <w:r w:rsidRPr="000652C6">
              <w:rPr>
                <w:b/>
                <w:bCs/>
                <w:color w:val="FFFFFF" w:themeColor="background1"/>
                <w:lang w:val="en-US"/>
              </w:rPr>
              <w:t>S</w:t>
            </w:r>
            <w:r w:rsidR="3B62F17F" w:rsidRPr="000652C6">
              <w:rPr>
                <w:b/>
                <w:bCs/>
                <w:color w:val="FFFFFF" w:themeColor="background1"/>
                <w:lang w:val="en-US"/>
              </w:rPr>
              <w:t xml:space="preserve">ustainable </w:t>
            </w:r>
          </w:p>
        </w:tc>
      </w:tr>
      <w:tr w:rsidR="00D6359E" w14:paraId="2A154D89" w14:textId="77777777" w:rsidTr="64D1FFB9">
        <w:trPr>
          <w:trHeight w:val="300"/>
        </w:trPr>
        <w:tc>
          <w:tcPr>
            <w:tcW w:w="9628" w:type="dxa"/>
          </w:tcPr>
          <w:p w14:paraId="4797DA3B" w14:textId="77777777" w:rsidR="00D6359E" w:rsidRPr="001250DE" w:rsidRDefault="00D6359E" w:rsidP="00FF04ED">
            <w:pPr>
              <w:rPr>
                <w:lang w:val="en-US"/>
              </w:rPr>
            </w:pPr>
          </w:p>
          <w:p w14:paraId="1B0D04E8" w14:textId="2A22D2A6" w:rsidR="00D6359E" w:rsidRPr="003346D6" w:rsidRDefault="00227D7C" w:rsidP="00FF04ED">
            <w:pPr>
              <w:rPr>
                <w:lang w:val="en-US"/>
              </w:rPr>
            </w:pPr>
            <w:r w:rsidRPr="003346D6">
              <w:rPr>
                <w:lang w:val="en-US"/>
              </w:rPr>
              <w:t>Developing a sustainable operating model</w:t>
            </w:r>
            <w:r w:rsidR="003346D6" w:rsidRPr="003346D6">
              <w:rPr>
                <w:lang w:val="en-US"/>
              </w:rPr>
              <w:t xml:space="preserve"> will be considered against each of the objectives </w:t>
            </w:r>
            <w:r w:rsidR="00852503" w:rsidRPr="003346D6">
              <w:rPr>
                <w:lang w:val="en-US"/>
              </w:rPr>
              <w:t>in</w:t>
            </w:r>
            <w:r w:rsidR="003346D6" w:rsidRPr="003346D6">
              <w:rPr>
                <w:lang w:val="en-US"/>
              </w:rPr>
              <w:t xml:space="preserve"> section 2.</w:t>
            </w:r>
          </w:p>
          <w:p w14:paraId="306EEA0A" w14:textId="77777777" w:rsidR="00D6359E" w:rsidRPr="000652C6" w:rsidRDefault="00D6359E" w:rsidP="00FF04ED">
            <w:pPr>
              <w:rPr>
                <w:b/>
                <w:bCs/>
                <w:lang w:val="en-US"/>
              </w:rPr>
            </w:pPr>
          </w:p>
        </w:tc>
      </w:tr>
      <w:tr w:rsidR="00D6359E" w14:paraId="6B8F0319" w14:textId="77777777" w:rsidTr="64D1FFB9">
        <w:trPr>
          <w:trHeight w:val="300"/>
        </w:trPr>
        <w:tc>
          <w:tcPr>
            <w:tcW w:w="9628" w:type="dxa"/>
            <w:shd w:val="clear" w:color="auto" w:fill="196B24" w:themeFill="accent3"/>
          </w:tcPr>
          <w:p w14:paraId="29278110" w14:textId="70ADB0A2" w:rsidR="00D6359E" w:rsidRPr="000652C6" w:rsidRDefault="3B62F17F" w:rsidP="00FF04ED">
            <w:pPr>
              <w:rPr>
                <w:b/>
                <w:bCs/>
                <w:lang w:val="en-US"/>
              </w:rPr>
            </w:pPr>
            <w:r w:rsidRPr="000652C6">
              <w:rPr>
                <w:b/>
                <w:bCs/>
                <w:color w:val="FFFFFF" w:themeColor="background1"/>
              </w:rPr>
              <w:t>Transformative and ambitious</w:t>
            </w:r>
          </w:p>
        </w:tc>
      </w:tr>
      <w:tr w:rsidR="00D6359E" w14:paraId="7BB7DE27" w14:textId="77777777" w:rsidTr="64D1FFB9">
        <w:trPr>
          <w:trHeight w:val="300"/>
        </w:trPr>
        <w:tc>
          <w:tcPr>
            <w:tcW w:w="9628" w:type="dxa"/>
          </w:tcPr>
          <w:p w14:paraId="527ED17A" w14:textId="0F78B9A4" w:rsidR="00D6359E" w:rsidRPr="001250DE" w:rsidRDefault="00D6359E" w:rsidP="00FF04ED">
            <w:pPr>
              <w:rPr>
                <w:lang w:val="en-US"/>
              </w:rPr>
            </w:pPr>
          </w:p>
          <w:p w14:paraId="22BE385B" w14:textId="4561D70C" w:rsidR="002C12E7" w:rsidRPr="00B0132B" w:rsidRDefault="5CD1C609" w:rsidP="2E3B0F59">
            <w:pPr>
              <w:rPr>
                <w:rFonts w:eastAsia="Arial" w:cs="Arial"/>
                <w:lang w:val="en-US"/>
              </w:rPr>
            </w:pPr>
            <w:r w:rsidRPr="64D1FFB9">
              <w:rPr>
                <w:lang w:val="en-US"/>
              </w:rPr>
              <w:t>Both councils are committed to developing an operating model</w:t>
            </w:r>
            <w:r w:rsidR="690B59CB" w:rsidRPr="64D1FFB9">
              <w:rPr>
                <w:lang w:val="en-US"/>
              </w:rPr>
              <w:t xml:space="preserve"> which </w:t>
            </w:r>
            <w:r w:rsidR="285A0772" w:rsidRPr="64D1FFB9">
              <w:rPr>
                <w:lang w:val="en-US"/>
              </w:rPr>
              <w:t xml:space="preserve">optimises </w:t>
            </w:r>
            <w:r w:rsidR="690B59CB" w:rsidRPr="64D1FFB9">
              <w:rPr>
                <w:lang w:val="en-US"/>
              </w:rPr>
              <w:t>the potential</w:t>
            </w:r>
            <w:r w:rsidR="606A4A66" w:rsidRPr="64D1FFB9">
              <w:rPr>
                <w:lang w:val="en-US"/>
              </w:rPr>
              <w:t xml:space="preserve"> community benefits whilst balancing the statutory </w:t>
            </w:r>
            <w:r w:rsidR="019538A9" w:rsidRPr="64D1FFB9">
              <w:rPr>
                <w:lang w:val="en-US"/>
              </w:rPr>
              <w:t xml:space="preserve">duties </w:t>
            </w:r>
            <w:r w:rsidR="32A2D795" w:rsidRPr="64D1FFB9">
              <w:rPr>
                <w:lang w:val="en-US"/>
              </w:rPr>
              <w:t>placed on each</w:t>
            </w:r>
            <w:r w:rsidR="7EA7197F" w:rsidRPr="64D1FFB9">
              <w:rPr>
                <w:lang w:val="en-US"/>
              </w:rPr>
              <w:t xml:space="preserve"> authority</w:t>
            </w:r>
            <w:r w:rsidR="4CC875B3" w:rsidRPr="64D1FFB9">
              <w:rPr>
                <w:lang w:val="en-US"/>
              </w:rPr>
              <w:t xml:space="preserve">. </w:t>
            </w:r>
            <w:r w:rsidR="00840008" w:rsidRPr="64D1FFB9">
              <w:rPr>
                <w:lang w:val="en-US"/>
              </w:rPr>
              <w:t xml:space="preserve"> </w:t>
            </w:r>
            <w:r w:rsidR="32A2D795" w:rsidRPr="64D1FFB9">
              <w:rPr>
                <w:lang w:val="en-US"/>
              </w:rPr>
              <w:t>There is scope, with</w:t>
            </w:r>
            <w:r w:rsidR="1D30B6D1" w:rsidRPr="64D1FFB9">
              <w:rPr>
                <w:lang w:val="en-US"/>
              </w:rPr>
              <w:t xml:space="preserve"> national changes, and emerging </w:t>
            </w:r>
            <w:r w:rsidR="76641475" w:rsidRPr="64D1FFB9">
              <w:rPr>
                <w:lang w:val="en-US"/>
              </w:rPr>
              <w:t>legislation,</w:t>
            </w:r>
            <w:r w:rsidR="7BD1AB61" w:rsidRPr="64D1FFB9">
              <w:rPr>
                <w:lang w:val="en-US"/>
              </w:rPr>
              <w:t xml:space="preserve"> to extend the scope of the workstream beyond the other shared resilience teams </w:t>
            </w:r>
            <w:r w:rsidR="76641475" w:rsidRPr="64D1FFB9">
              <w:rPr>
                <w:lang w:val="en-US"/>
              </w:rPr>
              <w:t>in Scotland</w:t>
            </w:r>
            <w:r w:rsidR="4CC875B3" w:rsidRPr="64D1FFB9">
              <w:rPr>
                <w:lang w:val="en-US"/>
              </w:rPr>
              <w:t xml:space="preserve">. </w:t>
            </w:r>
            <w:r w:rsidR="00840008" w:rsidRPr="64D1FFB9">
              <w:rPr>
                <w:lang w:val="en-US"/>
              </w:rPr>
              <w:t xml:space="preserve"> </w:t>
            </w:r>
            <w:r w:rsidR="76641475" w:rsidRPr="64D1FFB9">
              <w:rPr>
                <w:lang w:val="en-US"/>
              </w:rPr>
              <w:t>Creating</w:t>
            </w:r>
            <w:r w:rsidR="4F2013AF" w:rsidRPr="64D1FFB9">
              <w:rPr>
                <w:lang w:val="en-US"/>
              </w:rPr>
              <w:t xml:space="preserve"> a </w:t>
            </w:r>
            <w:r w:rsidR="4FC39606" w:rsidRPr="64D1FFB9">
              <w:rPr>
                <w:lang w:val="en-US"/>
              </w:rPr>
              <w:t>Centre</w:t>
            </w:r>
            <w:r w:rsidR="4F2013AF" w:rsidRPr="64D1FFB9">
              <w:rPr>
                <w:lang w:val="en-US"/>
              </w:rPr>
              <w:t xml:space="preserve"> of </w:t>
            </w:r>
            <w:r w:rsidR="4FC39606" w:rsidRPr="64D1FFB9">
              <w:rPr>
                <w:lang w:val="en-US"/>
              </w:rPr>
              <w:t>E</w:t>
            </w:r>
            <w:r w:rsidR="4F2013AF" w:rsidRPr="64D1FFB9">
              <w:rPr>
                <w:lang w:val="en-US"/>
              </w:rPr>
              <w:t xml:space="preserve">xcellence, with </w:t>
            </w:r>
            <w:r w:rsidR="285A0772" w:rsidRPr="64D1FFB9">
              <w:rPr>
                <w:lang w:val="en-US"/>
              </w:rPr>
              <w:t xml:space="preserve">specialised </w:t>
            </w:r>
            <w:r w:rsidR="4F2013AF" w:rsidRPr="64D1FFB9">
              <w:rPr>
                <w:lang w:val="en-US"/>
              </w:rPr>
              <w:t>skill sets</w:t>
            </w:r>
            <w:r w:rsidR="463B80FE" w:rsidRPr="64D1FFB9">
              <w:rPr>
                <w:lang w:val="en-US"/>
              </w:rPr>
              <w:t>, knowledge and capability</w:t>
            </w:r>
            <w:r w:rsidR="27E0980F" w:rsidRPr="64D1FFB9">
              <w:rPr>
                <w:lang w:val="en-US"/>
              </w:rPr>
              <w:t xml:space="preserve"> is a </w:t>
            </w:r>
            <w:r w:rsidR="06749D76" w:rsidRPr="64D1FFB9">
              <w:rPr>
                <w:lang w:val="en-US"/>
              </w:rPr>
              <w:t>core driving aim of this review</w:t>
            </w:r>
            <w:r w:rsidR="6C454239" w:rsidRPr="64D1FFB9">
              <w:rPr>
                <w:lang w:val="en-US"/>
              </w:rPr>
              <w:t xml:space="preserve">, learning and building </w:t>
            </w:r>
            <w:r w:rsidR="4EEE041E" w:rsidRPr="64D1FFB9">
              <w:rPr>
                <w:lang w:val="en-US"/>
              </w:rPr>
              <w:t xml:space="preserve">on </w:t>
            </w:r>
            <w:r w:rsidR="6C454239" w:rsidRPr="64D1FFB9">
              <w:rPr>
                <w:lang w:val="en-US"/>
              </w:rPr>
              <w:t>other examples rather than</w:t>
            </w:r>
            <w:r w:rsidR="4EEE041E" w:rsidRPr="64D1FFB9">
              <w:rPr>
                <w:lang w:val="en-US"/>
              </w:rPr>
              <w:t xml:space="preserve"> simply replicating those models</w:t>
            </w:r>
            <w:r w:rsidR="4CC875B3" w:rsidRPr="64D1FFB9">
              <w:rPr>
                <w:lang w:val="en-US"/>
              </w:rPr>
              <w:t xml:space="preserve">. </w:t>
            </w:r>
            <w:r w:rsidR="00840008" w:rsidRPr="64D1FFB9">
              <w:rPr>
                <w:lang w:val="en-US"/>
              </w:rPr>
              <w:t xml:space="preserve"> </w:t>
            </w:r>
            <w:r w:rsidR="4E5DCD43" w:rsidRPr="64D1FFB9">
              <w:rPr>
                <w:rFonts w:eastAsia="Arial" w:cs="Arial"/>
                <w:color w:val="000000" w:themeColor="text1"/>
                <w:lang w:val="en-US"/>
              </w:rPr>
              <w:t>The design of</w:t>
            </w:r>
            <w:r w:rsidR="100850DC" w:rsidRPr="64D1FFB9">
              <w:rPr>
                <w:rFonts w:eastAsia="Arial" w:cs="Arial"/>
                <w:color w:val="000000" w:themeColor="text1"/>
                <w:lang w:val="en-US"/>
              </w:rPr>
              <w:t xml:space="preserve"> the future</w:t>
            </w:r>
            <w:r w:rsidR="4E5DCD43" w:rsidRPr="64D1FFB9">
              <w:rPr>
                <w:rFonts w:eastAsia="Arial" w:cs="Arial"/>
                <w:color w:val="000000" w:themeColor="text1"/>
                <w:lang w:val="en-US"/>
              </w:rPr>
              <w:t xml:space="preserve"> operating model will reflect this programmes ambitions of transformational change.</w:t>
            </w:r>
          </w:p>
          <w:p w14:paraId="0351FF32" w14:textId="77777777" w:rsidR="00D6359E" w:rsidRPr="000652C6" w:rsidRDefault="00D6359E" w:rsidP="00FF04ED">
            <w:pPr>
              <w:rPr>
                <w:b/>
                <w:bCs/>
                <w:lang w:val="en-US"/>
              </w:rPr>
            </w:pPr>
          </w:p>
        </w:tc>
      </w:tr>
      <w:tr w:rsidR="00D6359E" w14:paraId="1FA7ECEE" w14:textId="77777777" w:rsidTr="64D1FFB9">
        <w:trPr>
          <w:trHeight w:val="300"/>
        </w:trPr>
        <w:tc>
          <w:tcPr>
            <w:tcW w:w="9628" w:type="dxa"/>
            <w:shd w:val="clear" w:color="auto" w:fill="196B24" w:themeFill="accent3"/>
          </w:tcPr>
          <w:p w14:paraId="64335099" w14:textId="0F9B4EC0" w:rsidR="00D6359E" w:rsidRPr="000652C6" w:rsidRDefault="3B62F17F" w:rsidP="00FF04ED">
            <w:pPr>
              <w:rPr>
                <w:b/>
                <w:bCs/>
                <w:lang w:val="en-US"/>
              </w:rPr>
            </w:pPr>
            <w:r w:rsidRPr="000652C6">
              <w:rPr>
                <w:b/>
                <w:bCs/>
                <w:color w:val="FFFFFF" w:themeColor="background1"/>
              </w:rPr>
              <w:t>Fair and equitable</w:t>
            </w:r>
          </w:p>
        </w:tc>
      </w:tr>
      <w:tr w:rsidR="00D6359E" w14:paraId="47D8991D" w14:textId="77777777" w:rsidTr="64D1FFB9">
        <w:trPr>
          <w:trHeight w:val="300"/>
        </w:trPr>
        <w:tc>
          <w:tcPr>
            <w:tcW w:w="9628" w:type="dxa"/>
          </w:tcPr>
          <w:p w14:paraId="702E99D3" w14:textId="77777777" w:rsidR="00D6359E" w:rsidRPr="00D6359E" w:rsidRDefault="00D6359E" w:rsidP="00FF04ED">
            <w:pPr>
              <w:rPr>
                <w:b/>
                <w:bCs/>
                <w:u w:val="single"/>
                <w:lang w:val="en-US"/>
              </w:rPr>
            </w:pPr>
          </w:p>
          <w:p w14:paraId="34F56254" w14:textId="4E745308" w:rsidR="00D6359E" w:rsidRPr="004A75A5" w:rsidRDefault="00CA70B3" w:rsidP="00FF04ED">
            <w:pPr>
              <w:rPr>
                <w:lang w:val="en-US"/>
              </w:rPr>
            </w:pPr>
            <w:r w:rsidRPr="004A75A5">
              <w:rPr>
                <w:lang w:val="en-US"/>
              </w:rPr>
              <w:t xml:space="preserve">Developing a fair and equitable </w:t>
            </w:r>
            <w:r w:rsidR="004B0E24" w:rsidRPr="004A75A5">
              <w:rPr>
                <w:lang w:val="en-US"/>
              </w:rPr>
              <w:t xml:space="preserve">operating model will be a core consideration when </w:t>
            </w:r>
            <w:r w:rsidR="008F1E00" w:rsidRPr="004A75A5">
              <w:rPr>
                <w:lang w:val="en-US"/>
              </w:rPr>
              <w:t>defining the costed business case</w:t>
            </w:r>
            <w:r w:rsidR="004A75A5" w:rsidRPr="004A75A5">
              <w:rPr>
                <w:lang w:val="en-US"/>
              </w:rPr>
              <w:t xml:space="preserve"> and options.</w:t>
            </w:r>
          </w:p>
          <w:p w14:paraId="4C648895" w14:textId="77777777" w:rsidR="00D6359E" w:rsidRPr="00D6359E" w:rsidRDefault="00D6359E" w:rsidP="00FF04ED">
            <w:pPr>
              <w:rPr>
                <w:b/>
                <w:bCs/>
                <w:u w:val="single"/>
                <w:lang w:val="en-US"/>
              </w:rPr>
            </w:pPr>
          </w:p>
        </w:tc>
      </w:tr>
    </w:tbl>
    <w:p w14:paraId="253AE756" w14:textId="77777777" w:rsidR="00AD7057" w:rsidRPr="007E708B" w:rsidRDefault="00AD7057" w:rsidP="007E708B">
      <w:pPr>
        <w:rPr>
          <w:lang w:val="en-US"/>
        </w:rPr>
      </w:pPr>
    </w:p>
    <w:p w14:paraId="3CC3D8D9" w14:textId="77777777" w:rsidR="007E708B" w:rsidRDefault="007E708B" w:rsidP="007E708B">
      <w:pPr>
        <w:rPr>
          <w:lang w:val="en-US"/>
        </w:rPr>
      </w:pPr>
    </w:p>
    <w:p w14:paraId="358B219F" w14:textId="77777777" w:rsidR="001250DE" w:rsidRDefault="001250DE">
      <w:pPr>
        <w:spacing w:after="160" w:line="278" w:lineRule="auto"/>
        <w:rPr>
          <w:b/>
          <w:bCs/>
          <w:lang w:val="en-US"/>
        </w:rPr>
      </w:pPr>
      <w:r>
        <w:rPr>
          <w:b/>
          <w:bCs/>
          <w:lang w:val="en-US"/>
        </w:rPr>
        <w:br w:type="page"/>
      </w:r>
    </w:p>
    <w:p w14:paraId="0A534573" w14:textId="55EB0E29" w:rsidR="008C2FEC" w:rsidRDefault="3B62F17F" w:rsidP="3B62F17F">
      <w:pPr>
        <w:tabs>
          <w:tab w:val="left" w:pos="709"/>
        </w:tabs>
        <w:rPr>
          <w:b/>
          <w:bCs/>
          <w:lang w:val="en-US"/>
        </w:rPr>
      </w:pPr>
      <w:r w:rsidRPr="3B62F17F">
        <w:rPr>
          <w:b/>
          <w:bCs/>
          <w:lang w:val="en-US"/>
        </w:rPr>
        <w:lastRenderedPageBreak/>
        <w:t>5.</w:t>
      </w:r>
      <w:r w:rsidR="007E708B">
        <w:tab/>
      </w:r>
      <w:r w:rsidRPr="3B62F17F">
        <w:rPr>
          <w:b/>
          <w:bCs/>
          <w:lang w:val="en-US"/>
        </w:rPr>
        <w:t xml:space="preserve">Financial </w:t>
      </w:r>
    </w:p>
    <w:p w14:paraId="00F0A24E" w14:textId="77777777" w:rsidR="008C2FEC" w:rsidRDefault="008C2FEC" w:rsidP="3B62F17F">
      <w:pPr>
        <w:tabs>
          <w:tab w:val="left" w:pos="709"/>
        </w:tabs>
        <w:rPr>
          <w:b/>
          <w:bCs/>
          <w:lang w:val="en-US"/>
        </w:rPr>
      </w:pPr>
    </w:p>
    <w:p w14:paraId="6167E990" w14:textId="77777777" w:rsidR="008C2FEC" w:rsidRDefault="008C2FEC" w:rsidP="3B62F17F">
      <w:pPr>
        <w:tabs>
          <w:tab w:val="left" w:pos="709"/>
        </w:tabs>
        <w:rPr>
          <w:b/>
          <w:bCs/>
          <w:lang w:val="en-US"/>
        </w:rPr>
      </w:pPr>
      <w:r>
        <w:rPr>
          <w:b/>
          <w:lang w:val="en-US"/>
        </w:rPr>
        <w:tab/>
      </w:r>
    </w:p>
    <w:tbl>
      <w:tblPr>
        <w:tblStyle w:val="TableGrid"/>
        <w:tblW w:w="9628" w:type="dxa"/>
        <w:tblInd w:w="596" w:type="dxa"/>
        <w:tblLook w:val="04A0" w:firstRow="1" w:lastRow="0" w:firstColumn="1" w:lastColumn="0" w:noHBand="0" w:noVBand="1"/>
      </w:tblPr>
      <w:tblGrid>
        <w:gridCol w:w="9628"/>
      </w:tblGrid>
      <w:tr w:rsidR="008C2FEC" w14:paraId="51DD8FF2" w14:textId="77777777" w:rsidTr="191141EE">
        <w:trPr>
          <w:trHeight w:val="300"/>
        </w:trPr>
        <w:tc>
          <w:tcPr>
            <w:tcW w:w="9628" w:type="dxa"/>
            <w:shd w:val="clear" w:color="auto" w:fill="196B24" w:themeFill="accent3"/>
          </w:tcPr>
          <w:p w14:paraId="1FC7DFB3" w14:textId="38CBBBA9" w:rsidR="008C2FEC" w:rsidRDefault="3B62F17F" w:rsidP="3B62F17F">
            <w:pPr>
              <w:tabs>
                <w:tab w:val="left" w:pos="709"/>
              </w:tabs>
              <w:rPr>
                <w:b/>
                <w:bCs/>
                <w:lang w:val="en-US"/>
              </w:rPr>
            </w:pPr>
            <w:r w:rsidRPr="000652C6">
              <w:rPr>
                <w:b/>
                <w:bCs/>
                <w:color w:val="FFFFFF" w:themeColor="background1"/>
                <w:lang w:val="en-US"/>
              </w:rPr>
              <w:t>Please outline how this workstream will work to achieve financial sustainability in both approach and outcomes, in 500 words or less.</w:t>
            </w:r>
          </w:p>
        </w:tc>
      </w:tr>
      <w:tr w:rsidR="008C2FEC" w14:paraId="533052C1" w14:textId="77777777" w:rsidTr="191141EE">
        <w:trPr>
          <w:trHeight w:val="300"/>
        </w:trPr>
        <w:tc>
          <w:tcPr>
            <w:tcW w:w="9628" w:type="dxa"/>
          </w:tcPr>
          <w:p w14:paraId="148B042E" w14:textId="77777777" w:rsidR="008C2FEC" w:rsidRDefault="008C2FEC" w:rsidP="001250DE">
            <w:pPr>
              <w:tabs>
                <w:tab w:val="left" w:pos="709"/>
              </w:tabs>
              <w:rPr>
                <w:b/>
                <w:bCs/>
                <w:lang w:val="en-US"/>
              </w:rPr>
            </w:pPr>
          </w:p>
          <w:p w14:paraId="418F63D1" w14:textId="17BB7BC9" w:rsidR="7237BB58" w:rsidRDefault="25481BF8" w:rsidP="001250DE">
            <w:pPr>
              <w:pStyle w:val="NormalWeb"/>
              <w:spacing w:before="0" w:beforeAutospacing="0" w:after="0" w:afterAutospacing="0" w:line="300" w:lineRule="atLeast"/>
              <w:rPr>
                <w:rFonts w:ascii="Arial" w:hAnsi="Arial" w:cs="Arial"/>
              </w:rPr>
            </w:pPr>
            <w:r w:rsidRPr="191141EE">
              <w:rPr>
                <w:rFonts w:ascii="Arial" w:hAnsi="Arial" w:cs="Arial"/>
              </w:rPr>
              <w:t>This workstream will assess options to improve</w:t>
            </w:r>
            <w:r w:rsidR="02856A79" w:rsidRPr="191141EE">
              <w:rPr>
                <w:rFonts w:ascii="Arial" w:hAnsi="Arial" w:cs="Arial"/>
              </w:rPr>
              <w:t xml:space="preserve"> where possible</w:t>
            </w:r>
            <w:r w:rsidRPr="191141EE">
              <w:rPr>
                <w:rFonts w:ascii="Arial" w:hAnsi="Arial" w:cs="Arial"/>
              </w:rPr>
              <w:t xml:space="preserve"> financial sustainability</w:t>
            </w:r>
            <w:r w:rsidR="1D0A7988" w:rsidRPr="191141EE">
              <w:rPr>
                <w:rFonts w:ascii="Arial" w:hAnsi="Arial" w:cs="Arial"/>
              </w:rPr>
              <w:t xml:space="preserve"> and </w:t>
            </w:r>
            <w:r w:rsidR="494A6890" w:rsidRPr="191141EE">
              <w:rPr>
                <w:rFonts w:ascii="Arial" w:hAnsi="Arial" w:cs="Arial"/>
              </w:rPr>
              <w:t>improved outcomes for communities</w:t>
            </w:r>
            <w:r w:rsidRPr="191141EE">
              <w:rPr>
                <w:rFonts w:ascii="Arial" w:hAnsi="Arial" w:cs="Arial"/>
              </w:rPr>
              <w:t xml:space="preserve"> by creating a shared, integrated Emergency Planning and Resilience service for Falkirk and Clackmannanshire Councils, with the potential to scale further if required.</w:t>
            </w:r>
          </w:p>
          <w:p w14:paraId="46D3858F" w14:textId="77777777" w:rsidR="001250DE" w:rsidRDefault="001250DE" w:rsidP="001250DE">
            <w:pPr>
              <w:pStyle w:val="NormalWeb"/>
              <w:spacing w:before="0" w:beforeAutospacing="0" w:after="0" w:afterAutospacing="0" w:line="300" w:lineRule="atLeast"/>
              <w:rPr>
                <w:rFonts w:ascii="Arial" w:hAnsi="Arial" w:cs="Arial"/>
              </w:rPr>
            </w:pPr>
          </w:p>
          <w:p w14:paraId="6011E45E" w14:textId="7F25CD2A" w:rsidR="2E3B0F59" w:rsidRDefault="5D670FFF" w:rsidP="001250DE">
            <w:pPr>
              <w:pStyle w:val="NormalWeb"/>
              <w:spacing w:before="0" w:beforeAutospacing="0" w:after="0" w:afterAutospacing="0" w:line="300" w:lineRule="atLeast"/>
              <w:rPr>
                <w:rFonts w:ascii="Arial" w:eastAsia="Arial" w:hAnsi="Arial" w:cs="Arial"/>
                <w:lang w:val="en-US"/>
              </w:rPr>
            </w:pPr>
            <w:r w:rsidRPr="191141EE">
              <w:rPr>
                <w:rFonts w:ascii="Arial" w:eastAsia="Arial" w:hAnsi="Arial" w:cs="Arial"/>
              </w:rPr>
              <w:t xml:space="preserve">Non- financial benefits such as </w:t>
            </w:r>
            <w:r w:rsidRPr="191141EE">
              <w:rPr>
                <w:rFonts w:ascii="Arial" w:eastAsia="Arial" w:hAnsi="Arial" w:cs="Arial"/>
                <w:lang w:val="en-US"/>
              </w:rPr>
              <w:t xml:space="preserve">providing enhanced preparedness, information, and advice will directly benefit citizens and communities. </w:t>
            </w:r>
            <w:r w:rsidR="00840008">
              <w:rPr>
                <w:rFonts w:ascii="Arial" w:eastAsia="Arial" w:hAnsi="Arial" w:cs="Arial"/>
                <w:lang w:val="en-US"/>
              </w:rPr>
              <w:t xml:space="preserve"> </w:t>
            </w:r>
            <w:r w:rsidRPr="191141EE">
              <w:rPr>
                <w:rFonts w:ascii="Arial" w:eastAsia="Arial" w:hAnsi="Arial" w:cs="Arial"/>
                <w:lang w:val="en-US"/>
              </w:rPr>
              <w:t>More efficient and 24/7 responses during emergency incidents will also directly benefit communities and residents affected by those incidents.</w:t>
            </w:r>
            <w:r w:rsidR="360C3C2F" w:rsidRPr="191141EE">
              <w:rPr>
                <w:rFonts w:ascii="Arial" w:eastAsia="Arial" w:hAnsi="Arial" w:cs="Arial"/>
                <w:lang w:val="en-US"/>
              </w:rPr>
              <w:t xml:space="preserve"> </w:t>
            </w:r>
            <w:r w:rsidR="00840008">
              <w:rPr>
                <w:rFonts w:ascii="Arial" w:eastAsia="Arial" w:hAnsi="Arial" w:cs="Arial"/>
                <w:lang w:val="en-US"/>
              </w:rPr>
              <w:t xml:space="preserve"> </w:t>
            </w:r>
            <w:r w:rsidR="360C3C2F" w:rsidRPr="191141EE">
              <w:rPr>
                <w:rFonts w:ascii="Arial" w:eastAsia="Arial" w:hAnsi="Arial" w:cs="Arial"/>
                <w:lang w:val="en-US"/>
              </w:rPr>
              <w:t xml:space="preserve">Improved and retained reputational management for both Councils is also an anticipated benefit arising from this workstream, </w:t>
            </w:r>
            <w:proofErr w:type="spellStart"/>
            <w:r w:rsidR="360C3C2F" w:rsidRPr="191141EE">
              <w:rPr>
                <w:rFonts w:ascii="Arial" w:eastAsia="Arial" w:hAnsi="Arial" w:cs="Arial"/>
                <w:lang w:val="en-US"/>
              </w:rPr>
              <w:t>recognising</w:t>
            </w:r>
            <w:proofErr w:type="spellEnd"/>
            <w:r w:rsidR="360C3C2F" w:rsidRPr="191141EE">
              <w:rPr>
                <w:rFonts w:ascii="Arial" w:eastAsia="Arial" w:hAnsi="Arial" w:cs="Arial"/>
                <w:lang w:val="en-US"/>
              </w:rPr>
              <w:t xml:space="preserve"> the </w:t>
            </w:r>
            <w:r w:rsidR="29F1BB1F" w:rsidRPr="191141EE">
              <w:rPr>
                <w:rFonts w:ascii="Arial" w:eastAsia="Arial" w:hAnsi="Arial" w:cs="Arial"/>
                <w:lang w:val="en-US"/>
              </w:rPr>
              <w:t>emerging risks and opportunities associated with counter terrorism and security under CONTEST.</w:t>
            </w:r>
          </w:p>
          <w:p w14:paraId="11D17289" w14:textId="77777777" w:rsidR="001250DE" w:rsidRDefault="001250DE" w:rsidP="001250DE">
            <w:pPr>
              <w:pStyle w:val="NormalWeb"/>
              <w:spacing w:before="0" w:beforeAutospacing="0" w:after="0" w:afterAutospacing="0" w:line="300" w:lineRule="atLeast"/>
              <w:rPr>
                <w:rFonts w:ascii="Arial" w:hAnsi="Arial" w:cs="Arial"/>
              </w:rPr>
            </w:pPr>
          </w:p>
          <w:p w14:paraId="2B894260" w14:textId="5C587FB5" w:rsidR="7237BB58" w:rsidRDefault="0D403E4F" w:rsidP="001250DE">
            <w:pPr>
              <w:pStyle w:val="NormalWeb"/>
              <w:spacing w:before="0" w:beforeAutospacing="0" w:after="0" w:afterAutospacing="0" w:line="300" w:lineRule="atLeast"/>
              <w:rPr>
                <w:rFonts w:ascii="Arial" w:hAnsi="Arial" w:cs="Arial"/>
              </w:rPr>
            </w:pPr>
            <w:r w:rsidRPr="2E3B0F59">
              <w:rPr>
                <w:rFonts w:ascii="Arial" w:hAnsi="Arial" w:cs="Arial"/>
              </w:rPr>
              <w:t>Establishing a joint service may reduce overall operating costs by combining resources and minimising duplication across both Councils.</w:t>
            </w:r>
            <w:r w:rsidR="00840008">
              <w:rPr>
                <w:rFonts w:ascii="Arial" w:hAnsi="Arial" w:cs="Arial"/>
              </w:rPr>
              <w:t xml:space="preserve"> </w:t>
            </w:r>
            <w:r w:rsidRPr="2E3B0F59">
              <w:rPr>
                <w:rFonts w:ascii="Arial" w:hAnsi="Arial" w:cs="Arial"/>
              </w:rPr>
              <w:t xml:space="preserve"> Efficiencies are expected through streamlined training and exercising, more consistent planning and preparedness activities, and adopting a “one-plan” approach where appropriate. Standardised processes and shared systems would also strengthen </w:t>
            </w:r>
            <w:r w:rsidR="79E02C6D" w:rsidRPr="2E3B0F59">
              <w:rPr>
                <w:rFonts w:ascii="Arial" w:hAnsi="Arial" w:cs="Arial"/>
              </w:rPr>
              <w:t xml:space="preserve">planning </w:t>
            </w:r>
            <w:r w:rsidR="5AB52086" w:rsidRPr="2E3B0F59">
              <w:rPr>
                <w:rFonts w:ascii="Arial" w:hAnsi="Arial" w:cs="Arial"/>
              </w:rPr>
              <w:t xml:space="preserve">and </w:t>
            </w:r>
            <w:r w:rsidRPr="2E3B0F59">
              <w:rPr>
                <w:rFonts w:ascii="Arial" w:hAnsi="Arial" w:cs="Arial"/>
              </w:rPr>
              <w:t>collaboration with Category 1 responders and national agencies.</w:t>
            </w:r>
            <w:r w:rsidR="00840008">
              <w:rPr>
                <w:rFonts w:ascii="Arial" w:hAnsi="Arial" w:cs="Arial"/>
              </w:rPr>
              <w:t xml:space="preserve"> </w:t>
            </w:r>
            <w:r w:rsidRPr="2E3B0F59">
              <w:rPr>
                <w:rFonts w:ascii="Arial" w:hAnsi="Arial" w:cs="Arial"/>
              </w:rPr>
              <w:t xml:space="preserve"> Additional opportunities for efficiency—such as colocation, joint procurement of equipment (</w:t>
            </w:r>
            <w:r w:rsidR="001250DE" w:rsidRPr="2E3B0F59">
              <w:rPr>
                <w:rFonts w:ascii="Arial" w:hAnsi="Arial" w:cs="Arial"/>
              </w:rPr>
              <w:t>e.g.</w:t>
            </w:r>
            <w:r w:rsidR="697F3C5F" w:rsidRPr="2E3B0F59">
              <w:rPr>
                <w:rFonts w:ascii="Arial" w:hAnsi="Arial" w:cs="Arial"/>
              </w:rPr>
              <w:t xml:space="preserve"> </w:t>
            </w:r>
            <w:r w:rsidRPr="2E3B0F59">
              <w:rPr>
                <w:rFonts w:ascii="Arial" w:hAnsi="Arial" w:cs="Arial"/>
              </w:rPr>
              <w:t>rest centre materials, communication tools), and shared digital solutions including automation—will be explored as part of the business case</w:t>
            </w:r>
            <w:r w:rsidR="7D19C213" w:rsidRPr="2E3B0F59">
              <w:rPr>
                <w:rFonts w:ascii="Arial" w:hAnsi="Arial" w:cs="Arial"/>
              </w:rPr>
              <w:t>.</w:t>
            </w:r>
            <w:r w:rsidR="4FFC936D" w:rsidRPr="2E3B0F59">
              <w:rPr>
                <w:rFonts w:ascii="Arial" w:hAnsi="Arial" w:cs="Arial"/>
              </w:rPr>
              <w:t xml:space="preserve"> </w:t>
            </w:r>
          </w:p>
          <w:p w14:paraId="1284282E" w14:textId="77777777" w:rsidR="001250DE" w:rsidRDefault="001250DE" w:rsidP="001250DE">
            <w:pPr>
              <w:pStyle w:val="NormalWeb"/>
              <w:spacing w:before="0" w:beforeAutospacing="0" w:after="0" w:afterAutospacing="0" w:line="300" w:lineRule="atLeast"/>
              <w:rPr>
                <w:rFonts w:ascii="Arial" w:hAnsi="Arial" w:cs="Arial"/>
              </w:rPr>
            </w:pPr>
          </w:p>
          <w:p w14:paraId="202B100C" w14:textId="203F6BB5" w:rsidR="50F3B524" w:rsidRDefault="7418518C" w:rsidP="001250DE">
            <w:pPr>
              <w:pStyle w:val="NormalWeb"/>
              <w:spacing w:before="0" w:beforeAutospacing="0" w:after="0" w:afterAutospacing="0" w:line="300" w:lineRule="atLeast"/>
              <w:rPr>
                <w:rFonts w:ascii="Arial" w:hAnsi="Arial" w:cs="Arial"/>
              </w:rPr>
            </w:pPr>
            <w:r w:rsidRPr="71D8669E">
              <w:rPr>
                <w:rFonts w:ascii="Arial" w:hAnsi="Arial" w:cs="Arial"/>
              </w:rPr>
              <w:t xml:space="preserve">The workstream will be progressed using the </w:t>
            </w:r>
            <w:r w:rsidR="5C54F0E9" w:rsidRPr="71D8669E">
              <w:rPr>
                <w:rFonts w:ascii="Arial" w:hAnsi="Arial" w:cs="Arial"/>
              </w:rPr>
              <w:t xml:space="preserve">knowledge and </w:t>
            </w:r>
            <w:r w:rsidRPr="71D8669E">
              <w:rPr>
                <w:rFonts w:ascii="Arial" w:hAnsi="Arial" w:cs="Arial"/>
              </w:rPr>
              <w:t xml:space="preserve">expertise of existing strategic leaders and emergency planning and resilience teams. </w:t>
            </w:r>
            <w:r w:rsidR="00840008">
              <w:rPr>
                <w:rFonts w:ascii="Arial" w:hAnsi="Arial" w:cs="Arial"/>
              </w:rPr>
              <w:t xml:space="preserve"> </w:t>
            </w:r>
            <w:r w:rsidRPr="71D8669E">
              <w:rPr>
                <w:rFonts w:ascii="Arial" w:hAnsi="Arial" w:cs="Arial"/>
              </w:rPr>
              <w:t>No external consultancy support</w:t>
            </w:r>
            <w:r w:rsidR="6878B35F" w:rsidRPr="71D8669E">
              <w:rPr>
                <w:rFonts w:ascii="Arial" w:hAnsi="Arial" w:cs="Arial"/>
              </w:rPr>
              <w:t xml:space="preserve"> or advice</w:t>
            </w:r>
            <w:r w:rsidRPr="71D8669E">
              <w:rPr>
                <w:rFonts w:ascii="Arial" w:hAnsi="Arial" w:cs="Arial"/>
              </w:rPr>
              <w:t xml:space="preserve"> is currently anticipated, ensuring minimal </w:t>
            </w:r>
            <w:r w:rsidR="170D0656" w:rsidRPr="71D8669E">
              <w:rPr>
                <w:rFonts w:ascii="Arial" w:hAnsi="Arial" w:cs="Arial"/>
              </w:rPr>
              <w:t xml:space="preserve">approach or </w:t>
            </w:r>
            <w:r w:rsidRPr="71D8669E">
              <w:rPr>
                <w:rFonts w:ascii="Arial" w:hAnsi="Arial" w:cs="Arial"/>
              </w:rPr>
              <w:t xml:space="preserve">development costs. </w:t>
            </w:r>
            <w:r w:rsidR="00840008">
              <w:rPr>
                <w:rFonts w:ascii="Arial" w:hAnsi="Arial" w:cs="Arial"/>
              </w:rPr>
              <w:t xml:space="preserve"> </w:t>
            </w:r>
            <w:r w:rsidRPr="71D8669E">
              <w:rPr>
                <w:rFonts w:ascii="Arial" w:hAnsi="Arial" w:cs="Arial"/>
              </w:rPr>
              <w:t>The team will also review relevant good</w:t>
            </w:r>
            <w:r w:rsidR="68E29E81" w:rsidRPr="71D8669E">
              <w:rPr>
                <w:rFonts w:ascii="Arial" w:hAnsi="Arial" w:cs="Arial"/>
              </w:rPr>
              <w:t xml:space="preserve"> </w:t>
            </w:r>
            <w:r w:rsidRPr="71D8669E">
              <w:rPr>
                <w:rFonts w:ascii="Arial" w:hAnsi="Arial" w:cs="Arial"/>
              </w:rPr>
              <w:t>practice examples and learning from established delivery models, including benefits realisation and evaluation materials</w:t>
            </w:r>
            <w:r w:rsidR="00167B4F" w:rsidRPr="00167B4F">
              <w:rPr>
                <w:rFonts w:ascii="Arial" w:hAnsi="Arial" w:cs="Arial"/>
              </w:rPr>
              <w:t>.</w:t>
            </w:r>
          </w:p>
          <w:p w14:paraId="356E68FE" w14:textId="77777777" w:rsidR="001250DE" w:rsidRDefault="001250DE" w:rsidP="001250DE">
            <w:pPr>
              <w:pStyle w:val="NormalWeb"/>
              <w:spacing w:before="0" w:beforeAutospacing="0" w:after="0" w:afterAutospacing="0" w:line="300" w:lineRule="atLeast"/>
              <w:rPr>
                <w:rFonts w:ascii="Arial" w:hAnsi="Arial" w:cs="Arial"/>
              </w:rPr>
            </w:pPr>
          </w:p>
          <w:p w14:paraId="47D6DDB2" w14:textId="4C26B646" w:rsidR="008C2FEC" w:rsidRPr="001250DE" w:rsidRDefault="00A653D6" w:rsidP="001250DE">
            <w:pPr>
              <w:pStyle w:val="NormalWeb"/>
              <w:spacing w:before="0" w:beforeAutospacing="0" w:after="0" w:afterAutospacing="0" w:line="300" w:lineRule="atLeast"/>
              <w:rPr>
                <w:rFonts w:ascii="Arial" w:hAnsi="Arial" w:cs="Arial"/>
              </w:rPr>
            </w:pPr>
            <w:r>
              <w:rPr>
                <w:rFonts w:ascii="Arial" w:hAnsi="Arial" w:cs="Arial"/>
              </w:rPr>
              <w:t>Any initial set up costs for both, or either Council will be fully explored through the costed busi</w:t>
            </w:r>
            <w:r w:rsidR="000A7BD1">
              <w:rPr>
                <w:rFonts w:ascii="Arial" w:hAnsi="Arial" w:cs="Arial"/>
              </w:rPr>
              <w:t>n</w:t>
            </w:r>
            <w:r>
              <w:rPr>
                <w:rFonts w:ascii="Arial" w:hAnsi="Arial" w:cs="Arial"/>
              </w:rPr>
              <w:t>ess case.</w:t>
            </w:r>
          </w:p>
          <w:p w14:paraId="3BE8206A" w14:textId="77777777" w:rsidR="008C2FEC" w:rsidRDefault="008C2FEC" w:rsidP="001250DE">
            <w:pPr>
              <w:tabs>
                <w:tab w:val="left" w:pos="709"/>
              </w:tabs>
              <w:rPr>
                <w:b/>
                <w:bCs/>
                <w:lang w:val="en-US"/>
              </w:rPr>
            </w:pPr>
          </w:p>
        </w:tc>
      </w:tr>
    </w:tbl>
    <w:p w14:paraId="1BD1BC53" w14:textId="77777777" w:rsidR="008C2FEC" w:rsidRPr="001250DE" w:rsidRDefault="008C2FEC" w:rsidP="3B62F17F">
      <w:pPr>
        <w:tabs>
          <w:tab w:val="left" w:pos="709"/>
        </w:tabs>
        <w:rPr>
          <w:lang w:val="en-US"/>
        </w:rPr>
      </w:pPr>
    </w:p>
    <w:p w14:paraId="12D3BD26" w14:textId="77777777" w:rsidR="008C2FEC" w:rsidRPr="001250DE" w:rsidRDefault="008C2FEC" w:rsidP="3B62F17F">
      <w:pPr>
        <w:tabs>
          <w:tab w:val="left" w:pos="709"/>
        </w:tabs>
        <w:rPr>
          <w:lang w:val="en-US"/>
        </w:rPr>
      </w:pPr>
    </w:p>
    <w:p w14:paraId="4062D8EB" w14:textId="78CD0B6A" w:rsidR="007E708B" w:rsidRPr="007E708B" w:rsidRDefault="3B62F17F" w:rsidP="3B62F17F">
      <w:pPr>
        <w:tabs>
          <w:tab w:val="left" w:pos="709"/>
        </w:tabs>
        <w:rPr>
          <w:b/>
          <w:bCs/>
          <w:lang w:val="en-US"/>
        </w:rPr>
      </w:pPr>
      <w:r w:rsidRPr="3B62F17F">
        <w:rPr>
          <w:b/>
          <w:bCs/>
          <w:lang w:val="en-US"/>
        </w:rPr>
        <w:t>6</w:t>
      </w:r>
      <w:r w:rsidR="00840008" w:rsidRPr="3B62F17F">
        <w:rPr>
          <w:b/>
          <w:bCs/>
          <w:lang w:val="en-US"/>
        </w:rPr>
        <w:t>.</w:t>
      </w:r>
      <w:r w:rsidR="00840008">
        <w:rPr>
          <w:b/>
          <w:bCs/>
          <w:lang w:val="en-US"/>
        </w:rPr>
        <w:tab/>
      </w:r>
      <w:r w:rsidR="00840008" w:rsidRPr="00840008">
        <w:rPr>
          <w:b/>
          <w:bCs/>
        </w:rPr>
        <w:t>Governance</w:t>
      </w:r>
    </w:p>
    <w:p w14:paraId="40357BD6" w14:textId="77777777" w:rsidR="00855077" w:rsidRDefault="00855077" w:rsidP="007E708B">
      <w:pPr>
        <w:rPr>
          <w:lang w:val="en-US"/>
        </w:rPr>
      </w:pPr>
    </w:p>
    <w:p w14:paraId="2B289247" w14:textId="2E124C12" w:rsidR="007E708B" w:rsidRPr="007E708B" w:rsidRDefault="007E708B" w:rsidP="03F27584">
      <w:pPr>
        <w:ind w:left="709"/>
        <w:rPr>
          <w:lang w:val="en-US"/>
        </w:rPr>
      </w:pPr>
      <w:r w:rsidRPr="64D1FFB9">
        <w:rPr>
          <w:lang w:val="en-US"/>
        </w:rPr>
        <w:t xml:space="preserve">The workstream will be overseen </w:t>
      </w:r>
      <w:r w:rsidR="00A8518A" w:rsidRPr="64D1FFB9">
        <w:rPr>
          <w:lang w:val="en-US"/>
        </w:rPr>
        <w:t>by the joint strategic leads</w:t>
      </w:r>
      <w:r w:rsidR="005C0898" w:rsidRPr="64D1FFB9">
        <w:rPr>
          <w:lang w:val="en-US"/>
        </w:rPr>
        <w:t xml:space="preserve"> – Cherie Jarvie (Clackmannanshire Council) and Kenny Gillespie (Falkirk Council)</w:t>
      </w:r>
      <w:r w:rsidRPr="64D1FFB9">
        <w:rPr>
          <w:lang w:val="en-US"/>
        </w:rPr>
        <w:t xml:space="preserve"> and all members will play an active role</w:t>
      </w:r>
      <w:r w:rsidR="00AD015D" w:rsidRPr="64D1FFB9">
        <w:rPr>
          <w:lang w:val="en-US"/>
        </w:rPr>
        <w:t xml:space="preserve">. </w:t>
      </w:r>
      <w:r w:rsidR="00840008" w:rsidRPr="64D1FFB9">
        <w:rPr>
          <w:lang w:val="en-US"/>
        </w:rPr>
        <w:t xml:space="preserve"> </w:t>
      </w:r>
      <w:r w:rsidRPr="64D1FFB9">
        <w:rPr>
          <w:lang w:val="en-US"/>
        </w:rPr>
        <w:t>The workstream will report to the Transformation through Collaboration Programme Board</w:t>
      </w:r>
      <w:r w:rsidR="00AD015D" w:rsidRPr="64D1FFB9">
        <w:rPr>
          <w:lang w:val="en-US"/>
        </w:rPr>
        <w:t xml:space="preserve">. </w:t>
      </w:r>
      <w:r w:rsidR="00840008" w:rsidRPr="64D1FFB9">
        <w:rPr>
          <w:lang w:val="en-US"/>
        </w:rPr>
        <w:t xml:space="preserve"> </w:t>
      </w:r>
      <w:r w:rsidR="5A2357BB" w:rsidRPr="64D1FFB9">
        <w:rPr>
          <w:rFonts w:eastAsia="Arial" w:cs="Arial"/>
          <w:lang w:val="en-US"/>
        </w:rPr>
        <w:t>Governance process will be agreed in line with the Governance Workstream, as this work evolves.</w:t>
      </w:r>
    </w:p>
    <w:p w14:paraId="4E807EA4" w14:textId="77777777" w:rsidR="007E708B" w:rsidRDefault="007E708B" w:rsidP="007E708B">
      <w:pPr>
        <w:rPr>
          <w:lang w:val="en-US"/>
        </w:rPr>
      </w:pPr>
    </w:p>
    <w:p w14:paraId="3E108E9B" w14:textId="77777777" w:rsidR="00855077" w:rsidRPr="007E708B" w:rsidRDefault="00855077" w:rsidP="007E708B">
      <w:pPr>
        <w:rPr>
          <w:lang w:val="en-US"/>
        </w:rPr>
      </w:pPr>
    </w:p>
    <w:p w14:paraId="7C14EE52" w14:textId="3169A3DB" w:rsidR="008546D6" w:rsidRDefault="008546D6" w:rsidP="001250DE">
      <w:pPr>
        <w:spacing w:line="278" w:lineRule="auto"/>
        <w:rPr>
          <w:b/>
          <w:lang w:val="en-US"/>
        </w:rPr>
      </w:pPr>
    </w:p>
    <w:p w14:paraId="4B148C43" w14:textId="0DFB1426" w:rsidR="00855077" w:rsidRDefault="3B62F17F" w:rsidP="001250DE">
      <w:pPr>
        <w:tabs>
          <w:tab w:val="left" w:pos="709"/>
        </w:tabs>
        <w:rPr>
          <w:b/>
          <w:bCs/>
          <w:lang w:val="en-US"/>
        </w:rPr>
      </w:pPr>
      <w:r w:rsidRPr="3B62F17F">
        <w:rPr>
          <w:b/>
          <w:bCs/>
          <w:lang w:val="en-US"/>
        </w:rPr>
        <w:t>7.</w:t>
      </w:r>
      <w:r w:rsidR="008C2FEC">
        <w:tab/>
      </w:r>
      <w:r w:rsidRPr="3B62F17F">
        <w:rPr>
          <w:b/>
          <w:bCs/>
          <w:lang w:val="en-US"/>
        </w:rPr>
        <w:t>Group Membership</w:t>
      </w:r>
    </w:p>
    <w:p w14:paraId="0911CA9A" w14:textId="77777777" w:rsidR="00855077" w:rsidRPr="007E708B" w:rsidRDefault="00855077" w:rsidP="001250DE">
      <w:pPr>
        <w:rPr>
          <w:b/>
          <w:lang w:val="en-US"/>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536"/>
        <w:gridCol w:w="3126"/>
      </w:tblGrid>
      <w:tr w:rsidR="00855077" w:rsidRPr="007E708B" w14:paraId="50212135" w14:textId="77777777" w:rsidTr="00722C6C">
        <w:trPr>
          <w:cantSplit/>
          <w:trHeight w:val="300"/>
          <w:tblHeader/>
        </w:trPr>
        <w:tc>
          <w:tcPr>
            <w:tcW w:w="2268" w:type="dxa"/>
            <w:shd w:val="clear" w:color="auto" w:fill="196B24"/>
            <w:noWrap/>
            <w:vAlign w:val="bottom"/>
          </w:tcPr>
          <w:p w14:paraId="07BE0231" w14:textId="77777777" w:rsidR="007E708B" w:rsidRPr="007E708B" w:rsidRDefault="007E708B" w:rsidP="001250DE">
            <w:pPr>
              <w:rPr>
                <w:b/>
                <w:bCs/>
                <w:color w:val="FFFFFF" w:themeColor="background1"/>
                <w:lang w:val="en-US"/>
              </w:rPr>
            </w:pPr>
            <w:r w:rsidRPr="007E708B">
              <w:rPr>
                <w:b/>
                <w:bCs/>
                <w:color w:val="FFFFFF" w:themeColor="background1"/>
                <w:lang w:val="en-US"/>
              </w:rPr>
              <w:t>Name</w:t>
            </w:r>
          </w:p>
        </w:tc>
        <w:tc>
          <w:tcPr>
            <w:tcW w:w="3536" w:type="dxa"/>
            <w:shd w:val="clear" w:color="auto" w:fill="196B24"/>
            <w:noWrap/>
            <w:vAlign w:val="bottom"/>
          </w:tcPr>
          <w:p w14:paraId="1F66D96F" w14:textId="77777777" w:rsidR="007E708B" w:rsidRPr="007E708B" w:rsidRDefault="007E708B" w:rsidP="001250DE">
            <w:pPr>
              <w:rPr>
                <w:b/>
                <w:bCs/>
                <w:color w:val="FFFFFF" w:themeColor="background1"/>
                <w:lang w:val="en-US"/>
              </w:rPr>
            </w:pPr>
            <w:r w:rsidRPr="007E708B">
              <w:rPr>
                <w:b/>
                <w:bCs/>
                <w:color w:val="FFFFFF" w:themeColor="background1"/>
                <w:lang w:val="en-US"/>
              </w:rPr>
              <w:t>Job Title</w:t>
            </w:r>
          </w:p>
        </w:tc>
        <w:tc>
          <w:tcPr>
            <w:tcW w:w="3126" w:type="dxa"/>
            <w:shd w:val="clear" w:color="auto" w:fill="196B24"/>
            <w:noWrap/>
            <w:vAlign w:val="bottom"/>
          </w:tcPr>
          <w:p w14:paraId="47B043AD" w14:textId="77777777" w:rsidR="007E708B" w:rsidRPr="007E708B" w:rsidRDefault="007E708B" w:rsidP="001250DE">
            <w:pPr>
              <w:rPr>
                <w:b/>
                <w:bCs/>
                <w:color w:val="FFFFFF" w:themeColor="background1"/>
                <w:lang w:val="en-US"/>
              </w:rPr>
            </w:pPr>
            <w:r w:rsidRPr="007E708B">
              <w:rPr>
                <w:b/>
                <w:bCs/>
                <w:color w:val="FFFFFF" w:themeColor="background1"/>
                <w:lang w:val="en-US"/>
              </w:rPr>
              <w:t xml:space="preserve">Partner </w:t>
            </w:r>
            <w:proofErr w:type="spellStart"/>
            <w:r w:rsidRPr="007E708B">
              <w:rPr>
                <w:b/>
                <w:bCs/>
                <w:color w:val="FFFFFF" w:themeColor="background1"/>
                <w:lang w:val="en-US"/>
              </w:rPr>
              <w:t>Organisation</w:t>
            </w:r>
            <w:proofErr w:type="spellEnd"/>
          </w:p>
        </w:tc>
      </w:tr>
      <w:tr w:rsidR="007E708B" w:rsidRPr="007E708B" w14:paraId="23D6E5BB" w14:textId="77777777" w:rsidTr="00722C6C">
        <w:trPr>
          <w:cantSplit/>
          <w:trHeight w:val="300"/>
          <w:tblHeader/>
        </w:trPr>
        <w:tc>
          <w:tcPr>
            <w:tcW w:w="2268" w:type="dxa"/>
            <w:noWrap/>
            <w:vAlign w:val="bottom"/>
          </w:tcPr>
          <w:p w14:paraId="2203D488" w14:textId="0D231775" w:rsidR="007E708B" w:rsidRPr="007E708B" w:rsidRDefault="00F95E1A" w:rsidP="001250DE">
            <w:pPr>
              <w:rPr>
                <w:lang w:val="en-US"/>
              </w:rPr>
            </w:pPr>
            <w:r>
              <w:rPr>
                <w:lang w:val="en-US"/>
              </w:rPr>
              <w:t>Kenny Gillespie</w:t>
            </w:r>
          </w:p>
        </w:tc>
        <w:tc>
          <w:tcPr>
            <w:tcW w:w="3536" w:type="dxa"/>
            <w:noWrap/>
            <w:vAlign w:val="bottom"/>
          </w:tcPr>
          <w:p w14:paraId="07FD3CED" w14:textId="4491736C" w:rsidR="007E708B" w:rsidRPr="007E708B" w:rsidRDefault="00722C6C" w:rsidP="001250DE">
            <w:pPr>
              <w:rPr>
                <w:lang w:val="en-US"/>
              </w:rPr>
            </w:pPr>
            <w:r>
              <w:rPr>
                <w:lang w:val="en-US"/>
              </w:rPr>
              <w:t>Head of Communities, Innovation and Housing</w:t>
            </w:r>
          </w:p>
        </w:tc>
        <w:tc>
          <w:tcPr>
            <w:tcW w:w="3126" w:type="dxa"/>
            <w:noWrap/>
            <w:vAlign w:val="bottom"/>
          </w:tcPr>
          <w:p w14:paraId="19170992" w14:textId="2D86D8B0" w:rsidR="007E708B" w:rsidRPr="007E708B" w:rsidRDefault="00F95E1A" w:rsidP="001250DE">
            <w:pPr>
              <w:rPr>
                <w:lang w:val="en-US"/>
              </w:rPr>
            </w:pPr>
            <w:r>
              <w:rPr>
                <w:lang w:val="en-US"/>
              </w:rPr>
              <w:t>Falkirk Council</w:t>
            </w:r>
          </w:p>
        </w:tc>
      </w:tr>
      <w:tr w:rsidR="007E708B" w:rsidRPr="007E708B" w14:paraId="5F29209C" w14:textId="77777777" w:rsidTr="00722C6C">
        <w:trPr>
          <w:cantSplit/>
          <w:trHeight w:val="300"/>
          <w:tblHeader/>
        </w:trPr>
        <w:tc>
          <w:tcPr>
            <w:tcW w:w="2268" w:type="dxa"/>
            <w:noWrap/>
            <w:vAlign w:val="bottom"/>
          </w:tcPr>
          <w:p w14:paraId="0637F98C" w14:textId="183BD030" w:rsidR="007E708B" w:rsidRPr="007E708B" w:rsidRDefault="00F95E1A" w:rsidP="001250DE">
            <w:pPr>
              <w:rPr>
                <w:lang w:val="en-US"/>
              </w:rPr>
            </w:pPr>
            <w:r>
              <w:rPr>
                <w:lang w:val="en-US"/>
              </w:rPr>
              <w:t>Cherie Jarvie</w:t>
            </w:r>
          </w:p>
        </w:tc>
        <w:tc>
          <w:tcPr>
            <w:tcW w:w="3536" w:type="dxa"/>
            <w:noWrap/>
            <w:vAlign w:val="bottom"/>
          </w:tcPr>
          <w:p w14:paraId="2C6D35B2" w14:textId="0644D950" w:rsidR="007E708B" w:rsidRPr="007E708B" w:rsidRDefault="000A2FCD" w:rsidP="001250DE">
            <w:pPr>
              <w:rPr>
                <w:lang w:val="en-US"/>
              </w:rPr>
            </w:pPr>
            <w:r>
              <w:rPr>
                <w:lang w:val="en-US"/>
              </w:rPr>
              <w:t>Senior Manager Partnership and Transformation</w:t>
            </w:r>
          </w:p>
        </w:tc>
        <w:tc>
          <w:tcPr>
            <w:tcW w:w="3126" w:type="dxa"/>
            <w:noWrap/>
            <w:vAlign w:val="bottom"/>
          </w:tcPr>
          <w:p w14:paraId="74B1AC3A" w14:textId="07CFE09E" w:rsidR="007E708B" w:rsidRPr="007E708B" w:rsidRDefault="00F95E1A" w:rsidP="001250DE">
            <w:pPr>
              <w:rPr>
                <w:lang w:val="en-US"/>
              </w:rPr>
            </w:pPr>
            <w:r>
              <w:rPr>
                <w:lang w:val="en-US"/>
              </w:rPr>
              <w:t>Clackmannanshire Council</w:t>
            </w:r>
          </w:p>
        </w:tc>
      </w:tr>
      <w:tr w:rsidR="007E708B" w:rsidRPr="007E708B" w14:paraId="6453E1E4" w14:textId="77777777" w:rsidTr="00722C6C">
        <w:trPr>
          <w:cantSplit/>
          <w:trHeight w:val="300"/>
          <w:tblHeader/>
        </w:trPr>
        <w:tc>
          <w:tcPr>
            <w:tcW w:w="2268" w:type="dxa"/>
            <w:noWrap/>
            <w:vAlign w:val="bottom"/>
          </w:tcPr>
          <w:p w14:paraId="47D4DE1B" w14:textId="397306C7" w:rsidR="007E708B" w:rsidRPr="007E708B" w:rsidRDefault="00F95E1A" w:rsidP="001250DE">
            <w:pPr>
              <w:rPr>
                <w:lang w:val="en-US"/>
              </w:rPr>
            </w:pPr>
            <w:r>
              <w:rPr>
                <w:lang w:val="en-US"/>
              </w:rPr>
              <w:t>Marc Sweeney</w:t>
            </w:r>
          </w:p>
        </w:tc>
        <w:tc>
          <w:tcPr>
            <w:tcW w:w="3536" w:type="dxa"/>
            <w:noWrap/>
            <w:vAlign w:val="bottom"/>
          </w:tcPr>
          <w:p w14:paraId="4C599F0E" w14:textId="607EB2C0" w:rsidR="007E708B" w:rsidRPr="007E708B" w:rsidRDefault="00536A23" w:rsidP="001250DE">
            <w:pPr>
              <w:rPr>
                <w:lang w:val="en-US"/>
              </w:rPr>
            </w:pPr>
            <w:r>
              <w:rPr>
                <w:lang w:val="en-US"/>
              </w:rPr>
              <w:t>Resilience Co-</w:t>
            </w:r>
            <w:proofErr w:type="spellStart"/>
            <w:r>
              <w:rPr>
                <w:lang w:val="en-US"/>
              </w:rPr>
              <w:t>ordinator</w:t>
            </w:r>
            <w:proofErr w:type="spellEnd"/>
          </w:p>
        </w:tc>
        <w:tc>
          <w:tcPr>
            <w:tcW w:w="3126" w:type="dxa"/>
            <w:noWrap/>
            <w:vAlign w:val="bottom"/>
          </w:tcPr>
          <w:p w14:paraId="2537AF7C" w14:textId="15B2D400" w:rsidR="007E708B" w:rsidRPr="007E708B" w:rsidRDefault="00CF739F" w:rsidP="001250DE">
            <w:pPr>
              <w:rPr>
                <w:lang w:val="en-US"/>
              </w:rPr>
            </w:pPr>
            <w:r>
              <w:rPr>
                <w:lang w:val="en-US"/>
              </w:rPr>
              <w:t>Falkirk Council</w:t>
            </w:r>
          </w:p>
        </w:tc>
      </w:tr>
      <w:tr w:rsidR="007E708B" w:rsidRPr="007E708B" w14:paraId="3D44FEF6" w14:textId="77777777" w:rsidTr="00722C6C">
        <w:trPr>
          <w:cantSplit/>
          <w:trHeight w:val="300"/>
          <w:tblHeader/>
        </w:trPr>
        <w:tc>
          <w:tcPr>
            <w:tcW w:w="2268" w:type="dxa"/>
            <w:noWrap/>
            <w:vAlign w:val="bottom"/>
          </w:tcPr>
          <w:p w14:paraId="010DCA5D" w14:textId="7C75EF74" w:rsidR="007E708B" w:rsidRPr="007E708B" w:rsidRDefault="00CF739F" w:rsidP="001250DE">
            <w:pPr>
              <w:rPr>
                <w:lang w:val="en-US"/>
              </w:rPr>
            </w:pPr>
            <w:r>
              <w:rPr>
                <w:lang w:val="en-US"/>
              </w:rPr>
              <w:t>David Webster</w:t>
            </w:r>
          </w:p>
        </w:tc>
        <w:tc>
          <w:tcPr>
            <w:tcW w:w="3536" w:type="dxa"/>
            <w:noWrap/>
            <w:vAlign w:val="bottom"/>
          </w:tcPr>
          <w:p w14:paraId="0918FFCB" w14:textId="457480CE" w:rsidR="007E708B" w:rsidRPr="007E708B" w:rsidRDefault="00B11AE9" w:rsidP="001250DE">
            <w:pPr>
              <w:rPr>
                <w:lang w:val="en-US"/>
              </w:rPr>
            </w:pPr>
            <w:r>
              <w:rPr>
                <w:lang w:val="en-US"/>
              </w:rPr>
              <w:t>Emergency Resilience Officer</w:t>
            </w:r>
          </w:p>
        </w:tc>
        <w:tc>
          <w:tcPr>
            <w:tcW w:w="3126" w:type="dxa"/>
            <w:noWrap/>
            <w:vAlign w:val="bottom"/>
          </w:tcPr>
          <w:p w14:paraId="1F19D675" w14:textId="770F83DF" w:rsidR="007E708B" w:rsidRPr="007E708B" w:rsidRDefault="00CF739F" w:rsidP="001250DE">
            <w:pPr>
              <w:rPr>
                <w:lang w:val="en-US"/>
              </w:rPr>
            </w:pPr>
            <w:r>
              <w:rPr>
                <w:lang w:val="en-US"/>
              </w:rPr>
              <w:t>Clackmannanshire Council</w:t>
            </w:r>
          </w:p>
        </w:tc>
      </w:tr>
    </w:tbl>
    <w:p w14:paraId="0E00AB5D" w14:textId="77777777" w:rsidR="007E708B" w:rsidRDefault="007E708B" w:rsidP="001250DE">
      <w:pPr>
        <w:rPr>
          <w:lang w:val="en-US"/>
        </w:rPr>
      </w:pPr>
    </w:p>
    <w:p w14:paraId="158925CA" w14:textId="77777777" w:rsidR="001250DE" w:rsidRDefault="001250DE" w:rsidP="001250DE">
      <w:pPr>
        <w:rPr>
          <w:lang w:val="en-US"/>
        </w:rPr>
      </w:pPr>
    </w:p>
    <w:p w14:paraId="22C56E68" w14:textId="1E17946A" w:rsidR="008546D6" w:rsidRPr="001250DE" w:rsidRDefault="3B62F17F" w:rsidP="001250DE">
      <w:pPr>
        <w:rPr>
          <w:b/>
          <w:bCs/>
          <w:lang w:val="en-US"/>
        </w:rPr>
      </w:pPr>
      <w:r w:rsidRPr="001250DE">
        <w:rPr>
          <w:b/>
          <w:bCs/>
          <w:lang w:val="en-US"/>
        </w:rPr>
        <w:t>8.</w:t>
      </w:r>
      <w:r w:rsidR="001250DE" w:rsidRPr="001250DE">
        <w:rPr>
          <w:b/>
          <w:bCs/>
          <w:lang w:val="en-US"/>
        </w:rPr>
        <w:tab/>
      </w:r>
      <w:r w:rsidRPr="001250DE">
        <w:rPr>
          <w:b/>
          <w:bCs/>
          <w:lang w:val="en-US"/>
        </w:rPr>
        <w:t xml:space="preserve">Stakeholder Engagement </w:t>
      </w:r>
    </w:p>
    <w:p w14:paraId="3680AB18" w14:textId="77777777" w:rsidR="009466FE" w:rsidRDefault="009466FE" w:rsidP="001250DE">
      <w:pPr>
        <w:rPr>
          <w:lang w:val="en-US"/>
        </w:rPr>
      </w:pPr>
    </w:p>
    <w:tbl>
      <w:tblPr>
        <w:tblStyle w:val="TableGrid"/>
        <w:tblW w:w="9628" w:type="dxa"/>
        <w:tblInd w:w="704" w:type="dxa"/>
        <w:tblLook w:val="04A0" w:firstRow="1" w:lastRow="0" w:firstColumn="1" w:lastColumn="0" w:noHBand="0" w:noVBand="1"/>
      </w:tblPr>
      <w:tblGrid>
        <w:gridCol w:w="9628"/>
      </w:tblGrid>
      <w:tr w:rsidR="00C2085C" w14:paraId="0F7BCA1C" w14:textId="77777777" w:rsidTr="00840008">
        <w:tc>
          <w:tcPr>
            <w:tcW w:w="9628" w:type="dxa"/>
            <w:shd w:val="clear" w:color="auto" w:fill="336600"/>
          </w:tcPr>
          <w:p w14:paraId="303C2C49" w14:textId="64C68E8B" w:rsidR="00C2085C" w:rsidRPr="00E15FD0" w:rsidRDefault="3B62F17F" w:rsidP="001250DE">
            <w:pPr>
              <w:rPr>
                <w:b/>
                <w:bCs/>
                <w:lang w:val="en-US"/>
              </w:rPr>
            </w:pPr>
            <w:r w:rsidRPr="3B62F17F">
              <w:rPr>
                <w:b/>
                <w:bCs/>
                <w:color w:val="FFFFFF" w:themeColor="background1"/>
                <w:lang w:val="en-US"/>
              </w:rPr>
              <w:t xml:space="preserve">Please note all </w:t>
            </w:r>
            <w:r w:rsidR="00580AFB" w:rsidRPr="3B62F17F">
              <w:rPr>
                <w:b/>
                <w:bCs/>
                <w:color w:val="FFFFFF" w:themeColor="background1"/>
                <w:lang w:val="en-US"/>
              </w:rPr>
              <w:t>stakeholders</w:t>
            </w:r>
            <w:r w:rsidRPr="3B62F17F">
              <w:rPr>
                <w:b/>
                <w:bCs/>
                <w:color w:val="FFFFFF" w:themeColor="background1"/>
                <w:lang w:val="en-US"/>
              </w:rPr>
              <w:t xml:space="preserve"> that should be considered in this workstream including details of their interest and influence in the workstream</w:t>
            </w:r>
          </w:p>
        </w:tc>
      </w:tr>
      <w:tr w:rsidR="00C2085C" w14:paraId="33D9E5A4" w14:textId="77777777" w:rsidTr="00840008">
        <w:tc>
          <w:tcPr>
            <w:tcW w:w="9628" w:type="dxa"/>
          </w:tcPr>
          <w:p w14:paraId="45555E0F" w14:textId="77777777" w:rsidR="008400FD" w:rsidRDefault="008400FD" w:rsidP="001250DE">
            <w:pPr>
              <w:rPr>
                <w:lang w:val="en-US"/>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0"/>
              <w:gridCol w:w="3126"/>
            </w:tblGrid>
            <w:tr w:rsidR="008400FD" w:rsidRPr="007E708B" w14:paraId="5ECDE433" w14:textId="77777777" w:rsidTr="00840008">
              <w:trPr>
                <w:cantSplit/>
                <w:trHeight w:val="300"/>
                <w:tblHeader/>
              </w:trPr>
              <w:tc>
                <w:tcPr>
                  <w:tcW w:w="2694" w:type="dxa"/>
                  <w:shd w:val="clear" w:color="auto" w:fill="196B24" w:themeFill="accent3"/>
                  <w:noWrap/>
                  <w:vAlign w:val="center"/>
                </w:tcPr>
                <w:p w14:paraId="0F191560" w14:textId="2B2D05A5" w:rsidR="008400FD" w:rsidRPr="007E708B" w:rsidRDefault="3B62F17F" w:rsidP="001250DE">
                  <w:pPr>
                    <w:rPr>
                      <w:b/>
                      <w:bCs/>
                      <w:color w:val="FFFFFF" w:themeColor="background1"/>
                      <w:lang w:val="en-US"/>
                    </w:rPr>
                  </w:pPr>
                  <w:r w:rsidRPr="3B62F17F">
                    <w:rPr>
                      <w:b/>
                      <w:bCs/>
                      <w:color w:val="FFFFFF" w:themeColor="background1"/>
                      <w:lang w:val="en-US"/>
                    </w:rPr>
                    <w:t>Stakeholder</w:t>
                  </w:r>
                </w:p>
              </w:tc>
              <w:tc>
                <w:tcPr>
                  <w:tcW w:w="3110" w:type="dxa"/>
                  <w:shd w:val="clear" w:color="auto" w:fill="196B24" w:themeFill="accent3"/>
                  <w:noWrap/>
                  <w:vAlign w:val="center"/>
                </w:tcPr>
                <w:p w14:paraId="5055C549" w14:textId="76AFAA85" w:rsidR="008400FD" w:rsidRPr="007E708B" w:rsidRDefault="3B62F17F" w:rsidP="001250DE">
                  <w:pPr>
                    <w:rPr>
                      <w:b/>
                      <w:bCs/>
                      <w:color w:val="FFFFFF" w:themeColor="background1"/>
                      <w:lang w:val="en-US"/>
                    </w:rPr>
                  </w:pPr>
                  <w:r w:rsidRPr="3B62F17F">
                    <w:rPr>
                      <w:b/>
                      <w:bCs/>
                      <w:color w:val="FFFFFF" w:themeColor="background1"/>
                      <w:lang w:val="en-US"/>
                    </w:rPr>
                    <w:t>Interest</w:t>
                  </w:r>
                </w:p>
              </w:tc>
              <w:tc>
                <w:tcPr>
                  <w:tcW w:w="3126" w:type="dxa"/>
                  <w:shd w:val="clear" w:color="auto" w:fill="196B24" w:themeFill="accent3"/>
                  <w:noWrap/>
                  <w:vAlign w:val="center"/>
                </w:tcPr>
                <w:p w14:paraId="1F70A520" w14:textId="77777777" w:rsidR="00840008" w:rsidRDefault="3B62F17F" w:rsidP="001250DE">
                  <w:pPr>
                    <w:rPr>
                      <w:b/>
                      <w:bCs/>
                      <w:color w:val="FFFFFF" w:themeColor="background1"/>
                      <w:lang w:val="en-US"/>
                    </w:rPr>
                  </w:pPr>
                  <w:r w:rsidRPr="3B62F17F">
                    <w:rPr>
                      <w:b/>
                      <w:bCs/>
                      <w:color w:val="FFFFFF" w:themeColor="background1"/>
                      <w:lang w:val="en-US"/>
                    </w:rPr>
                    <w:t>Influence</w:t>
                  </w:r>
                </w:p>
                <w:p w14:paraId="057E7151" w14:textId="5ECDFD06" w:rsidR="008400FD" w:rsidRPr="007E708B" w:rsidRDefault="3B62F17F" w:rsidP="001250DE">
                  <w:pPr>
                    <w:rPr>
                      <w:b/>
                      <w:bCs/>
                      <w:color w:val="FFFFFF" w:themeColor="background1"/>
                      <w:lang w:val="en-US"/>
                    </w:rPr>
                  </w:pPr>
                  <w:r w:rsidRPr="3B62F17F">
                    <w:rPr>
                      <w:b/>
                      <w:bCs/>
                      <w:color w:val="FFFFFF" w:themeColor="background1"/>
                      <w:lang w:val="en-US"/>
                    </w:rPr>
                    <w:t>(High/Med/Low)</w:t>
                  </w:r>
                </w:p>
              </w:tc>
            </w:tr>
            <w:tr w:rsidR="008400FD" w:rsidRPr="007E708B" w14:paraId="1000ACC4" w14:textId="77777777" w:rsidTr="00840008">
              <w:trPr>
                <w:cantSplit/>
                <w:trHeight w:val="300"/>
                <w:tblHeader/>
              </w:trPr>
              <w:tc>
                <w:tcPr>
                  <w:tcW w:w="2694" w:type="dxa"/>
                  <w:noWrap/>
                </w:tcPr>
                <w:p w14:paraId="1BB86613" w14:textId="75B64727" w:rsidR="008400FD" w:rsidRPr="007E708B" w:rsidRDefault="007D4E4B" w:rsidP="001250DE">
                  <w:pPr>
                    <w:rPr>
                      <w:lang w:val="en-US"/>
                    </w:rPr>
                  </w:pPr>
                  <w:r>
                    <w:rPr>
                      <w:lang w:val="en-US"/>
                    </w:rPr>
                    <w:t xml:space="preserve">Local Resilience Partnership member </w:t>
                  </w:r>
                  <w:proofErr w:type="spellStart"/>
                  <w:r>
                    <w:rPr>
                      <w:lang w:val="en-US"/>
                    </w:rPr>
                    <w:t>organisations</w:t>
                  </w:r>
                  <w:proofErr w:type="spellEnd"/>
                </w:p>
              </w:tc>
              <w:tc>
                <w:tcPr>
                  <w:tcW w:w="3110" w:type="dxa"/>
                  <w:noWrap/>
                </w:tcPr>
                <w:p w14:paraId="0C30AFD0" w14:textId="1001DE3F" w:rsidR="008400FD" w:rsidRPr="007E708B" w:rsidRDefault="00FC57FC" w:rsidP="001250DE">
                  <w:pPr>
                    <w:rPr>
                      <w:lang w:val="en-US"/>
                    </w:rPr>
                  </w:pPr>
                  <w:r>
                    <w:rPr>
                      <w:lang w:val="en-US"/>
                    </w:rPr>
                    <w:t>Chairing and secretariat arrangements/information sharing</w:t>
                  </w:r>
                </w:p>
              </w:tc>
              <w:tc>
                <w:tcPr>
                  <w:tcW w:w="3126" w:type="dxa"/>
                  <w:noWrap/>
                </w:tcPr>
                <w:p w14:paraId="42D567EC" w14:textId="23AE68C5" w:rsidR="008400FD" w:rsidRPr="007E708B" w:rsidRDefault="00FC57FC" w:rsidP="001250DE">
                  <w:pPr>
                    <w:rPr>
                      <w:lang w:val="en-US"/>
                    </w:rPr>
                  </w:pPr>
                  <w:r>
                    <w:rPr>
                      <w:lang w:val="en-US"/>
                    </w:rPr>
                    <w:t>Low</w:t>
                  </w:r>
                </w:p>
              </w:tc>
            </w:tr>
            <w:tr w:rsidR="008400FD" w:rsidRPr="007E708B" w14:paraId="5B9497E4" w14:textId="77777777" w:rsidTr="00840008">
              <w:trPr>
                <w:cantSplit/>
                <w:trHeight w:val="300"/>
                <w:tblHeader/>
              </w:trPr>
              <w:tc>
                <w:tcPr>
                  <w:tcW w:w="2694" w:type="dxa"/>
                  <w:noWrap/>
                </w:tcPr>
                <w:p w14:paraId="04F0A17D" w14:textId="50355AC5" w:rsidR="008400FD" w:rsidRPr="007E708B" w:rsidRDefault="00FC57FC" w:rsidP="001250DE">
                  <w:pPr>
                    <w:rPr>
                      <w:lang w:val="en-US"/>
                    </w:rPr>
                  </w:pPr>
                  <w:r>
                    <w:rPr>
                      <w:lang w:val="en-US"/>
                    </w:rPr>
                    <w:t>Stirling Council resilience lead</w:t>
                  </w:r>
                </w:p>
              </w:tc>
              <w:tc>
                <w:tcPr>
                  <w:tcW w:w="3110" w:type="dxa"/>
                  <w:noWrap/>
                </w:tcPr>
                <w:p w14:paraId="1E6FFA6D" w14:textId="19A32592" w:rsidR="008400FD" w:rsidRPr="007E708B" w:rsidRDefault="00501B02" w:rsidP="001250DE">
                  <w:pPr>
                    <w:rPr>
                      <w:lang w:val="en-US"/>
                    </w:rPr>
                  </w:pPr>
                  <w:r>
                    <w:rPr>
                      <w:lang w:val="en-US"/>
                    </w:rPr>
                    <w:t>Existing and future shared planning arrangements/mutual aid arrangements</w:t>
                  </w:r>
                </w:p>
              </w:tc>
              <w:tc>
                <w:tcPr>
                  <w:tcW w:w="3126" w:type="dxa"/>
                  <w:noWrap/>
                </w:tcPr>
                <w:p w14:paraId="48E6DC0C" w14:textId="636F1FFA" w:rsidR="008400FD" w:rsidRPr="007E708B" w:rsidRDefault="743B2699" w:rsidP="001250DE">
                  <w:pPr>
                    <w:rPr>
                      <w:lang w:val="en-US"/>
                    </w:rPr>
                  </w:pPr>
                  <w:r w:rsidRPr="191141EE">
                    <w:rPr>
                      <w:lang w:val="en-US"/>
                    </w:rPr>
                    <w:t>Medium</w:t>
                  </w:r>
                </w:p>
              </w:tc>
            </w:tr>
            <w:tr w:rsidR="008400FD" w:rsidRPr="007E708B" w14:paraId="4B14FF40" w14:textId="77777777" w:rsidTr="00840008">
              <w:trPr>
                <w:cantSplit/>
                <w:trHeight w:val="300"/>
                <w:tblHeader/>
              </w:trPr>
              <w:tc>
                <w:tcPr>
                  <w:tcW w:w="2694" w:type="dxa"/>
                  <w:noWrap/>
                </w:tcPr>
                <w:p w14:paraId="6E93F65E" w14:textId="50431A03" w:rsidR="008400FD" w:rsidRPr="007E708B" w:rsidRDefault="00D4303D" w:rsidP="001250DE">
                  <w:pPr>
                    <w:rPr>
                      <w:lang w:val="en-US"/>
                    </w:rPr>
                  </w:pPr>
                  <w:r>
                    <w:rPr>
                      <w:lang w:val="en-US"/>
                    </w:rPr>
                    <w:t>Scottish Government Civil Contingencies</w:t>
                  </w:r>
                </w:p>
              </w:tc>
              <w:tc>
                <w:tcPr>
                  <w:tcW w:w="3110" w:type="dxa"/>
                  <w:noWrap/>
                </w:tcPr>
                <w:p w14:paraId="3D5F6D9C" w14:textId="516F3E7C" w:rsidR="008400FD" w:rsidRPr="007E708B" w:rsidRDefault="00D4303D" w:rsidP="001250DE">
                  <w:pPr>
                    <w:rPr>
                      <w:lang w:val="en-US"/>
                    </w:rPr>
                  </w:pPr>
                  <w:r>
                    <w:rPr>
                      <w:lang w:val="en-US"/>
                    </w:rPr>
                    <w:t>Information sharing</w:t>
                  </w:r>
                  <w:r w:rsidR="000C3191">
                    <w:rPr>
                      <w:lang w:val="en-US"/>
                    </w:rPr>
                    <w:t>/communications</w:t>
                  </w:r>
                </w:p>
              </w:tc>
              <w:tc>
                <w:tcPr>
                  <w:tcW w:w="3126" w:type="dxa"/>
                  <w:noWrap/>
                </w:tcPr>
                <w:p w14:paraId="10FCBE16" w14:textId="60EF5C64" w:rsidR="008400FD" w:rsidRPr="007E708B" w:rsidRDefault="000C3191" w:rsidP="001250DE">
                  <w:pPr>
                    <w:rPr>
                      <w:lang w:val="en-US"/>
                    </w:rPr>
                  </w:pPr>
                  <w:r>
                    <w:rPr>
                      <w:lang w:val="en-US"/>
                    </w:rPr>
                    <w:t>Low</w:t>
                  </w:r>
                </w:p>
              </w:tc>
            </w:tr>
          </w:tbl>
          <w:p w14:paraId="29D24892" w14:textId="0336CB94" w:rsidR="008400FD" w:rsidRDefault="008400FD" w:rsidP="001250DE">
            <w:pPr>
              <w:rPr>
                <w:lang w:val="en-US"/>
              </w:rPr>
            </w:pPr>
          </w:p>
          <w:p w14:paraId="1B0542A1" w14:textId="2D5F9B15" w:rsidR="00840008" w:rsidRDefault="00840008" w:rsidP="001250DE">
            <w:pPr>
              <w:rPr>
                <w:lang w:val="en-US"/>
              </w:rPr>
            </w:pPr>
          </w:p>
        </w:tc>
      </w:tr>
    </w:tbl>
    <w:p w14:paraId="65D5BE7C" w14:textId="77777777" w:rsidR="009466FE" w:rsidRPr="00840008" w:rsidRDefault="009466FE" w:rsidP="001250DE">
      <w:pPr>
        <w:rPr>
          <w:rFonts w:cs="Arial"/>
          <w:lang w:val="en-US"/>
        </w:rPr>
      </w:pPr>
    </w:p>
    <w:p w14:paraId="11774B34" w14:textId="77777777" w:rsidR="00674C77" w:rsidRPr="00840008" w:rsidRDefault="00674C77" w:rsidP="001250DE">
      <w:pPr>
        <w:rPr>
          <w:rFonts w:cs="Arial"/>
          <w:lang w:val="en-US"/>
        </w:rPr>
      </w:pPr>
    </w:p>
    <w:p w14:paraId="091FF01F" w14:textId="6FA54A46" w:rsidR="00674C77" w:rsidRPr="00840008" w:rsidRDefault="3B62F17F" w:rsidP="001250DE">
      <w:pPr>
        <w:rPr>
          <w:rFonts w:cs="Arial"/>
          <w:b/>
          <w:bCs/>
        </w:rPr>
      </w:pPr>
      <w:r w:rsidRPr="00840008">
        <w:rPr>
          <w:rFonts w:cs="Arial"/>
          <w:b/>
          <w:bCs/>
          <w:lang w:val="en-US"/>
        </w:rPr>
        <w:t>9.</w:t>
      </w:r>
      <w:r w:rsidR="00840008">
        <w:rPr>
          <w:rFonts w:cs="Arial"/>
          <w:b/>
          <w:bCs/>
          <w:lang w:val="en-US"/>
        </w:rPr>
        <w:tab/>
      </w:r>
      <w:r w:rsidRPr="00840008">
        <w:rPr>
          <w:rFonts w:cs="Arial"/>
          <w:b/>
          <w:bCs/>
        </w:rPr>
        <w:t>Technical Assistance or Additional Support (Internal/External)</w:t>
      </w:r>
    </w:p>
    <w:p w14:paraId="41672E86" w14:textId="77777777" w:rsidR="002A2F76" w:rsidRPr="00840008" w:rsidRDefault="002A2F76" w:rsidP="001250DE">
      <w:pPr>
        <w:rPr>
          <w:rFonts w:cs="Arial"/>
        </w:rPr>
      </w:pPr>
    </w:p>
    <w:tbl>
      <w:tblPr>
        <w:tblStyle w:val="TableGrid"/>
        <w:tblW w:w="9628" w:type="dxa"/>
        <w:tblInd w:w="704" w:type="dxa"/>
        <w:tblLook w:val="04A0" w:firstRow="1" w:lastRow="0" w:firstColumn="1" w:lastColumn="0" w:noHBand="0" w:noVBand="1"/>
      </w:tblPr>
      <w:tblGrid>
        <w:gridCol w:w="9628"/>
      </w:tblGrid>
      <w:tr w:rsidR="0062044C" w:rsidRPr="00840008" w14:paraId="08960391" w14:textId="77777777" w:rsidTr="00840008">
        <w:trPr>
          <w:trHeight w:val="300"/>
        </w:trPr>
        <w:tc>
          <w:tcPr>
            <w:tcW w:w="9628" w:type="dxa"/>
            <w:shd w:val="clear" w:color="auto" w:fill="336600"/>
          </w:tcPr>
          <w:p w14:paraId="4D6075DA" w14:textId="65FB617C" w:rsidR="0062044C" w:rsidRPr="00840008" w:rsidRDefault="3B62F17F" w:rsidP="001250DE">
            <w:pPr>
              <w:rPr>
                <w:rFonts w:cs="Arial"/>
                <w:b/>
                <w:bCs/>
                <w:lang w:val="en-US"/>
              </w:rPr>
            </w:pPr>
            <w:r w:rsidRPr="00840008">
              <w:rPr>
                <w:rFonts w:cs="Arial"/>
                <w:b/>
                <w:bCs/>
                <w:color w:val="FFFFFF" w:themeColor="background1"/>
                <w:lang w:val="en-US"/>
              </w:rPr>
              <w:t>Please indicate any anticipated technical or internal/ external support that may be required to ensure the success of this workstream (</w:t>
            </w:r>
            <w:r w:rsidR="00580AFB" w:rsidRPr="00840008">
              <w:rPr>
                <w:rFonts w:cs="Arial"/>
                <w:b/>
                <w:bCs/>
                <w:color w:val="FFFFFF" w:themeColor="background1"/>
                <w:lang w:val="en-US"/>
              </w:rPr>
              <w:t>E, g.</w:t>
            </w:r>
            <w:r w:rsidR="007439B1" w:rsidRPr="00840008">
              <w:rPr>
                <w:rFonts w:cs="Arial"/>
                <w:b/>
                <w:bCs/>
                <w:color w:val="FFFFFF" w:themeColor="background1"/>
                <w:lang w:val="en-US"/>
              </w:rPr>
              <w:t>, procurement</w:t>
            </w:r>
            <w:r w:rsidRPr="00840008">
              <w:rPr>
                <w:rFonts w:cs="Arial"/>
                <w:b/>
                <w:bCs/>
                <w:color w:val="FFFFFF" w:themeColor="background1"/>
                <w:lang w:val="en-US"/>
              </w:rPr>
              <w:t xml:space="preserve"> support).</w:t>
            </w:r>
          </w:p>
        </w:tc>
      </w:tr>
      <w:tr w:rsidR="0062044C" w:rsidRPr="00840008" w14:paraId="7843BD70" w14:textId="77777777" w:rsidTr="00840008">
        <w:trPr>
          <w:trHeight w:val="300"/>
        </w:trPr>
        <w:tc>
          <w:tcPr>
            <w:tcW w:w="9628" w:type="dxa"/>
          </w:tcPr>
          <w:p w14:paraId="7E137D35" w14:textId="77777777" w:rsidR="0062044C" w:rsidRPr="00840008" w:rsidRDefault="0062044C" w:rsidP="001250DE">
            <w:pPr>
              <w:rPr>
                <w:rFonts w:cs="Arial"/>
                <w:lang w:val="en-US"/>
              </w:rPr>
            </w:pPr>
          </w:p>
          <w:p w14:paraId="632AB3E1" w14:textId="4B4E0B5C" w:rsidR="0062044C" w:rsidRPr="00840008" w:rsidRDefault="003F1D52" w:rsidP="001250DE">
            <w:pPr>
              <w:rPr>
                <w:rFonts w:cs="Arial"/>
                <w:lang w:val="en-US"/>
              </w:rPr>
            </w:pPr>
            <w:r w:rsidRPr="00840008">
              <w:rPr>
                <w:rFonts w:cs="Arial"/>
                <w:lang w:val="en-US"/>
              </w:rPr>
              <w:t>L</w:t>
            </w:r>
            <w:r w:rsidR="00602324" w:rsidRPr="00840008">
              <w:rPr>
                <w:rFonts w:cs="Arial"/>
                <w:lang w:val="en-US"/>
              </w:rPr>
              <w:t>egal advice may be required however this</w:t>
            </w:r>
            <w:r w:rsidR="00FC1256" w:rsidRPr="00840008">
              <w:rPr>
                <w:rFonts w:cs="Arial"/>
                <w:lang w:val="en-US"/>
              </w:rPr>
              <w:t xml:space="preserve"> input is anticipated to be minimal</w:t>
            </w:r>
            <w:r w:rsidR="00AD015D" w:rsidRPr="00840008">
              <w:rPr>
                <w:rFonts w:cs="Arial"/>
                <w:lang w:val="en-US"/>
              </w:rPr>
              <w:t xml:space="preserve">. </w:t>
            </w:r>
          </w:p>
        </w:tc>
      </w:tr>
    </w:tbl>
    <w:p w14:paraId="73EF1FCB" w14:textId="77777777" w:rsidR="002A2F76" w:rsidRDefault="002A2F76" w:rsidP="001250DE">
      <w:pPr>
        <w:rPr>
          <w:rFonts w:cs="Arial"/>
        </w:rPr>
      </w:pPr>
    </w:p>
    <w:p w14:paraId="776D0F70" w14:textId="77777777" w:rsidR="00840008" w:rsidRDefault="00840008" w:rsidP="001250DE">
      <w:pPr>
        <w:rPr>
          <w:rFonts w:cs="Arial"/>
        </w:rPr>
      </w:pPr>
    </w:p>
    <w:p w14:paraId="59A9940E" w14:textId="77777777" w:rsidR="00840008" w:rsidRPr="00840008" w:rsidRDefault="00840008" w:rsidP="001250DE">
      <w:pPr>
        <w:rPr>
          <w:rFonts w:cs="Arial"/>
        </w:rPr>
      </w:pPr>
    </w:p>
    <w:p w14:paraId="2EFF36C2" w14:textId="77777777" w:rsidR="002A2F76" w:rsidRPr="00840008" w:rsidRDefault="002A2F76" w:rsidP="001250DE">
      <w:pPr>
        <w:rPr>
          <w:rFonts w:cs="Arial"/>
          <w:lang w:val="en-US"/>
        </w:rPr>
      </w:pPr>
    </w:p>
    <w:sectPr w:rsidR="002A2F76" w:rsidRPr="00840008" w:rsidSect="00F50487">
      <w:headerReference w:type="even" r:id="rId11"/>
      <w:headerReference w:type="default" r:id="rId12"/>
      <w:footerReference w:type="even" r:id="rId13"/>
      <w:footerReference w:type="default" r:id="rId14"/>
      <w:headerReference w:type="first" r:id="rId15"/>
      <w:footerReference w:type="first" r:id="rId16"/>
      <w:pgSz w:w="11906" w:h="16838"/>
      <w:pgMar w:top="1276" w:right="1134" w:bottom="1134" w:left="1134" w:header="426"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545D" w14:textId="77777777" w:rsidR="00F10137" w:rsidRDefault="00F10137" w:rsidP="00C60DFF">
      <w:r>
        <w:separator/>
      </w:r>
    </w:p>
  </w:endnote>
  <w:endnote w:type="continuationSeparator" w:id="0">
    <w:p w14:paraId="203DACE4" w14:textId="77777777" w:rsidR="00F10137" w:rsidRDefault="00F10137" w:rsidP="00C6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C02F" w14:textId="7239E276" w:rsidR="00127B7A" w:rsidRDefault="00127B7A">
    <w:pPr>
      <w:pStyle w:val="Footer"/>
    </w:pPr>
    <w:r>
      <w:rPr>
        <w:noProof/>
      </w:rPr>
      <mc:AlternateContent>
        <mc:Choice Requires="wps">
          <w:drawing>
            <wp:anchor distT="0" distB="0" distL="0" distR="0" simplePos="0" relativeHeight="251662336" behindDoc="0" locked="0" layoutInCell="1" allowOverlap="1" wp14:anchorId="31B1C52D" wp14:editId="7526F185">
              <wp:simplePos x="635" y="635"/>
              <wp:positionH relativeFrom="page">
                <wp:align>left</wp:align>
              </wp:positionH>
              <wp:positionV relativeFrom="page">
                <wp:align>bottom</wp:align>
              </wp:positionV>
              <wp:extent cx="1569085" cy="345440"/>
              <wp:effectExtent l="0" t="0" r="12065" b="0"/>
              <wp:wrapNone/>
              <wp:docPr id="862441114" name="Text Box 5" descr="OFFICIAL-Non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9085" cy="345440"/>
                      </a:xfrm>
                      <a:prstGeom prst="rect">
                        <a:avLst/>
                      </a:prstGeom>
                      <a:noFill/>
                      <a:ln>
                        <a:noFill/>
                      </a:ln>
                    </wps:spPr>
                    <wps:txbx>
                      <w:txbxContent>
                        <w:p w14:paraId="0858584D" w14:textId="40404569" w:rsidR="00127B7A" w:rsidRPr="00127B7A" w:rsidRDefault="00127B7A" w:rsidP="00127B7A">
                          <w:pPr>
                            <w:rPr>
                              <w:rFonts w:ascii="Aptos" w:eastAsia="Aptos" w:hAnsi="Aptos" w:cs="Aptos"/>
                              <w:noProof/>
                              <w:color w:val="008000"/>
                              <w:sz w:val="20"/>
                              <w:szCs w:val="20"/>
                            </w:rPr>
                          </w:pPr>
                          <w:r w:rsidRPr="00127B7A">
                            <w:rPr>
                              <w:rFonts w:ascii="Aptos" w:eastAsia="Aptos" w:hAnsi="Aptos" w:cs="Aptos"/>
                              <w:noProof/>
                              <w:color w:val="008000"/>
                              <w:sz w:val="20"/>
                              <w:szCs w:val="20"/>
                            </w:rPr>
                            <w:t>OFFICIAL-Non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B1C52D" id="_x0000_t202" coordsize="21600,21600" o:spt="202" path="m,l,21600r21600,l21600,xe">
              <v:stroke joinstyle="miter"/>
              <v:path gradientshapeok="t" o:connecttype="rect"/>
            </v:shapetype>
            <v:shape id="Text Box 5" o:spid="_x0000_s1028" type="#_x0000_t202" alt="OFFICIAL-Non Sensitive" style="position:absolute;margin-left:0;margin-top:0;width:123.5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" filled="f" stroked="f">
              <v:textbox style="mso-fit-shape-to-text:t" inset="20pt,0,0,15pt">
                <w:txbxContent>
                  <w:p w14:paraId="0858584D" w14:textId="40404569" w:rsidR="00127B7A" w:rsidRPr="00127B7A" w:rsidRDefault="00127B7A" w:rsidP="00127B7A">
                    <w:pPr>
                      <w:rPr>
                        <w:rFonts w:ascii="Aptos" w:eastAsia="Aptos" w:hAnsi="Aptos" w:cs="Aptos"/>
                        <w:noProof/>
                        <w:color w:val="008000"/>
                        <w:sz w:val="20"/>
                        <w:szCs w:val="20"/>
                      </w:rPr>
                    </w:pPr>
                    <w:r w:rsidRPr="00127B7A">
                      <w:rPr>
                        <w:rFonts w:ascii="Aptos" w:eastAsia="Aptos" w:hAnsi="Aptos" w:cs="Aptos"/>
                        <w:noProof/>
                        <w:color w:val="008000"/>
                        <w:sz w:val="20"/>
                        <w:szCs w:val="20"/>
                      </w:rPr>
                      <w:t>OFFICIAL-Non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2D83" w14:textId="3286F025" w:rsidR="00C60DFF" w:rsidRPr="00C60DFF" w:rsidRDefault="00C60DFF" w:rsidP="00E523B3">
    <w:pPr>
      <w:pStyle w:val="Footer"/>
      <w:pBdr>
        <w:top w:val="thinThickSmallGap" w:sz="24" w:space="1" w:color="196B24" w:themeColor="accent3"/>
      </w:pBdr>
      <w:tabs>
        <w:tab w:val="clear" w:pos="4513"/>
        <w:tab w:val="clear" w:pos="9026"/>
        <w:tab w:val="right" w:pos="9639"/>
      </w:tabs>
      <w:rPr>
        <w:b/>
        <w:bCs/>
        <w:color w:val="196B24" w:themeColor="accent3"/>
        <w:sz w:val="8"/>
        <w:szCs w:val="8"/>
      </w:rPr>
    </w:pPr>
  </w:p>
  <w:p w14:paraId="79792B7C" w14:textId="5472C2FD" w:rsidR="00C60DFF" w:rsidRPr="00C60DFF" w:rsidRDefault="00C60DFF" w:rsidP="00C60DFF">
    <w:pPr>
      <w:pStyle w:val="Footer"/>
      <w:jc w:val="center"/>
      <w:rPr>
        <w:b/>
        <w:bCs/>
        <w:color w:val="196B24" w:themeColor="accent3"/>
        <w:sz w:val="30"/>
        <w:szCs w:val="30"/>
      </w:rPr>
    </w:pPr>
    <w:r w:rsidRPr="00C60DFF">
      <w:rPr>
        <w:b/>
        <w:bCs/>
        <w:color w:val="196B24" w:themeColor="accent3"/>
        <w:sz w:val="30"/>
        <w:szCs w:val="30"/>
      </w:rPr>
      <w:t xml:space="preserve">Transformation </w:t>
    </w:r>
    <w:r w:rsidR="004F4183">
      <w:rPr>
        <w:b/>
        <w:bCs/>
        <w:color w:val="196B24" w:themeColor="accent3"/>
        <w:sz w:val="30"/>
        <w:szCs w:val="30"/>
      </w:rPr>
      <w:t>t</w:t>
    </w:r>
    <w:r w:rsidRPr="00C60DFF">
      <w:rPr>
        <w:b/>
        <w:bCs/>
        <w:color w:val="196B24" w:themeColor="accent3"/>
        <w:sz w:val="30"/>
        <w:szCs w:val="30"/>
      </w:rPr>
      <w:t>hrough Collaboration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CDA9" w14:textId="3231C684" w:rsidR="00127B7A" w:rsidRDefault="00127B7A">
    <w:pPr>
      <w:pStyle w:val="Footer"/>
    </w:pPr>
    <w:r>
      <w:rPr>
        <w:noProof/>
      </w:rPr>
      <mc:AlternateContent>
        <mc:Choice Requires="wps">
          <w:drawing>
            <wp:anchor distT="0" distB="0" distL="0" distR="0" simplePos="0" relativeHeight="251661312" behindDoc="0" locked="0" layoutInCell="1" allowOverlap="1" wp14:anchorId="3A997EEF" wp14:editId="20CD057B">
              <wp:simplePos x="635" y="635"/>
              <wp:positionH relativeFrom="page">
                <wp:align>left</wp:align>
              </wp:positionH>
              <wp:positionV relativeFrom="page">
                <wp:align>bottom</wp:align>
              </wp:positionV>
              <wp:extent cx="1569085" cy="345440"/>
              <wp:effectExtent l="0" t="0" r="12065" b="0"/>
              <wp:wrapNone/>
              <wp:docPr id="1077151851" name="Text Box 4" descr="OFFICIAL-Non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9085" cy="345440"/>
                      </a:xfrm>
                      <a:prstGeom prst="rect">
                        <a:avLst/>
                      </a:prstGeom>
                      <a:noFill/>
                      <a:ln>
                        <a:noFill/>
                      </a:ln>
                    </wps:spPr>
                    <wps:txbx>
                      <w:txbxContent>
                        <w:p w14:paraId="15C224F2" w14:textId="54101667" w:rsidR="00127B7A" w:rsidRPr="00127B7A" w:rsidRDefault="00127B7A" w:rsidP="00127B7A">
                          <w:pPr>
                            <w:rPr>
                              <w:rFonts w:ascii="Aptos" w:eastAsia="Aptos" w:hAnsi="Aptos" w:cs="Aptos"/>
                              <w:noProof/>
                              <w:color w:val="008000"/>
                              <w:sz w:val="20"/>
                              <w:szCs w:val="20"/>
                            </w:rPr>
                          </w:pPr>
                          <w:r w:rsidRPr="00127B7A">
                            <w:rPr>
                              <w:rFonts w:ascii="Aptos" w:eastAsia="Aptos" w:hAnsi="Aptos" w:cs="Aptos"/>
                              <w:noProof/>
                              <w:color w:val="008000"/>
                              <w:sz w:val="20"/>
                              <w:szCs w:val="20"/>
                            </w:rPr>
                            <w:t>OFFICIAL-Non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997EEF" id="_x0000_t202" coordsize="21600,21600" o:spt="202" path="m,l,21600r21600,l21600,xe">
              <v:stroke joinstyle="miter"/>
              <v:path gradientshapeok="t" o:connecttype="rect"/>
            </v:shapetype>
            <v:shape id="Text Box 4" o:spid="_x0000_s1030" type="#_x0000_t202" alt="OFFICIAL-Non Sensitive" style="position:absolute;margin-left:0;margin-top:0;width:123.5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" filled="f" stroked="f">
              <v:textbox style="mso-fit-shape-to-text:t" inset="20pt,0,0,15pt">
                <w:txbxContent>
                  <w:p w14:paraId="15C224F2" w14:textId="54101667" w:rsidR="00127B7A" w:rsidRPr="00127B7A" w:rsidRDefault="00127B7A" w:rsidP="00127B7A">
                    <w:pPr>
                      <w:rPr>
                        <w:rFonts w:ascii="Aptos" w:eastAsia="Aptos" w:hAnsi="Aptos" w:cs="Aptos"/>
                        <w:noProof/>
                        <w:color w:val="008000"/>
                        <w:sz w:val="20"/>
                        <w:szCs w:val="20"/>
                      </w:rPr>
                    </w:pPr>
                    <w:r w:rsidRPr="00127B7A">
                      <w:rPr>
                        <w:rFonts w:ascii="Aptos" w:eastAsia="Aptos" w:hAnsi="Aptos" w:cs="Aptos"/>
                        <w:noProof/>
                        <w:color w:val="008000"/>
                        <w:sz w:val="20"/>
                        <w:szCs w:val="20"/>
                      </w:rPr>
                      <w:t>OFFICIAL-Non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7677" w14:textId="77777777" w:rsidR="00F10137" w:rsidRDefault="00F10137" w:rsidP="00C60DFF">
      <w:r>
        <w:separator/>
      </w:r>
    </w:p>
  </w:footnote>
  <w:footnote w:type="continuationSeparator" w:id="0">
    <w:p w14:paraId="4030DF7E" w14:textId="77777777" w:rsidR="00F10137" w:rsidRDefault="00F10137" w:rsidP="00C6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31EC" w14:textId="41CC98E9" w:rsidR="00127B7A" w:rsidRDefault="00127B7A">
    <w:pPr>
      <w:pStyle w:val="Header"/>
    </w:pPr>
    <w:r>
      <w:rPr>
        <w:noProof/>
      </w:rPr>
      <mc:AlternateContent>
        <mc:Choice Requires="wps">
          <w:drawing>
            <wp:anchor distT="0" distB="0" distL="0" distR="0" simplePos="0" relativeHeight="251659264" behindDoc="0" locked="0" layoutInCell="1" allowOverlap="1" wp14:anchorId="61130792" wp14:editId="6A66029A">
              <wp:simplePos x="635" y="635"/>
              <wp:positionH relativeFrom="page">
                <wp:align>left</wp:align>
              </wp:positionH>
              <wp:positionV relativeFrom="page">
                <wp:align>top</wp:align>
              </wp:positionV>
              <wp:extent cx="1569085" cy="345440"/>
              <wp:effectExtent l="0" t="0" r="12065" b="16510"/>
              <wp:wrapNone/>
              <wp:docPr id="18669417" name="Text Box 2" descr="OFFICIAL-Non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085" cy="345440"/>
                      </a:xfrm>
                      <a:prstGeom prst="rect">
                        <a:avLst/>
                      </a:prstGeom>
                      <a:noFill/>
                      <a:ln>
                        <a:noFill/>
                      </a:ln>
                    </wps:spPr>
                    <wps:txbx>
                      <w:txbxContent>
                        <w:p w14:paraId="631F6808" w14:textId="46E6D68B" w:rsidR="00127B7A" w:rsidRPr="00127B7A" w:rsidRDefault="00127B7A" w:rsidP="00127B7A">
                          <w:pPr>
                            <w:rPr>
                              <w:rFonts w:ascii="Aptos" w:eastAsia="Aptos" w:hAnsi="Aptos" w:cs="Aptos"/>
                              <w:noProof/>
                              <w:color w:val="008000"/>
                              <w:sz w:val="20"/>
                              <w:szCs w:val="20"/>
                            </w:rPr>
                          </w:pPr>
                          <w:r w:rsidRPr="00127B7A">
                            <w:rPr>
                              <w:rFonts w:ascii="Aptos" w:eastAsia="Aptos" w:hAnsi="Aptos" w:cs="Aptos"/>
                              <w:noProof/>
                              <w:color w:val="008000"/>
                              <w:sz w:val="20"/>
                              <w:szCs w:val="20"/>
                            </w:rPr>
                            <w:t>OFFICIAL-Non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130792" id="_x0000_t202" coordsize="21600,21600" o:spt="202" path="m,l,21600r21600,l21600,xe">
              <v:stroke joinstyle="miter"/>
              <v:path gradientshapeok="t" o:connecttype="rect"/>
            </v:shapetype>
            <v:shape id="Text Box 2" o:spid="_x0000_s1026" type="#_x0000_t202" alt="OFFICIAL-Non Sensitive" style="position:absolute;margin-left:0;margin-top:0;width:123.5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8PsDw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" filled="f" stroked="f">
              <v:textbox style="mso-fit-shape-to-text:t" inset="20pt,15pt,0,0">
                <w:txbxContent>
                  <w:p w14:paraId="631F6808" w14:textId="46E6D68B" w:rsidR="00127B7A" w:rsidRPr="00127B7A" w:rsidRDefault="00127B7A" w:rsidP="00127B7A">
                    <w:pPr>
                      <w:rPr>
                        <w:rFonts w:ascii="Aptos" w:eastAsia="Aptos" w:hAnsi="Aptos" w:cs="Aptos"/>
                        <w:noProof/>
                        <w:color w:val="008000"/>
                        <w:sz w:val="20"/>
                        <w:szCs w:val="20"/>
                      </w:rPr>
                    </w:pPr>
                    <w:r w:rsidRPr="00127B7A">
                      <w:rPr>
                        <w:rFonts w:ascii="Aptos" w:eastAsia="Aptos" w:hAnsi="Aptos" w:cs="Aptos"/>
                        <w:noProof/>
                        <w:color w:val="008000"/>
                        <w:sz w:val="20"/>
                        <w:szCs w:val="20"/>
                      </w:rPr>
                      <w:t>OFFICIAL-Non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A1B6" w14:textId="28D443B2" w:rsidR="00F50487" w:rsidRDefault="00127B7A" w:rsidP="00D13C85">
    <w:pPr>
      <w:pStyle w:val="Header"/>
      <w:jc w:val="center"/>
      <w:rPr>
        <w:b/>
        <w:bCs/>
        <w:color w:val="196B24" w:themeColor="accent3"/>
        <w:sz w:val="32"/>
        <w:szCs w:val="32"/>
      </w:rPr>
    </w:pPr>
    <w:r>
      <w:rPr>
        <w:b/>
        <w:bCs/>
        <w:noProof/>
        <w:color w:val="196B24" w:themeColor="accent3"/>
        <w:sz w:val="32"/>
        <w:szCs w:val="32"/>
      </w:rPr>
      <mc:AlternateContent>
        <mc:Choice Requires="wps">
          <w:drawing>
            <wp:anchor distT="0" distB="0" distL="0" distR="0" simplePos="0" relativeHeight="251660288" behindDoc="0" locked="0" layoutInCell="1" allowOverlap="1" wp14:anchorId="7235C958" wp14:editId="78FCF6E4">
              <wp:simplePos x="723900" y="274320"/>
              <wp:positionH relativeFrom="page">
                <wp:align>left</wp:align>
              </wp:positionH>
              <wp:positionV relativeFrom="page">
                <wp:align>top</wp:align>
              </wp:positionV>
              <wp:extent cx="1569085" cy="345440"/>
              <wp:effectExtent l="0" t="0" r="12065" b="16510"/>
              <wp:wrapNone/>
              <wp:docPr id="784927215" name="Text Box 3" descr="OFFICIAL-Non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085" cy="345440"/>
                      </a:xfrm>
                      <a:prstGeom prst="rect">
                        <a:avLst/>
                      </a:prstGeom>
                      <a:noFill/>
                      <a:ln>
                        <a:noFill/>
                      </a:ln>
                    </wps:spPr>
                    <wps:txbx>
                      <w:txbxContent>
                        <w:p w14:paraId="4C6CF072" w14:textId="0F4763D7" w:rsidR="00127B7A" w:rsidRPr="00127B7A" w:rsidRDefault="00127B7A" w:rsidP="00127B7A">
                          <w:pPr>
                            <w:rPr>
                              <w:rFonts w:ascii="Aptos" w:eastAsia="Aptos" w:hAnsi="Aptos" w:cs="Aptos"/>
                              <w:noProof/>
                              <w:color w:val="008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35C958" id="_x0000_t202" coordsize="21600,21600" o:spt="202" path="m,l,21600r21600,l21600,xe">
              <v:stroke joinstyle="miter"/>
              <v:path gradientshapeok="t" o:connecttype="rect"/>
            </v:shapetype>
            <v:shape id="Text Box 3" o:spid="_x0000_s1027" type="#_x0000_t202" alt="OFFICIAL-Non Sensitive" style="position:absolute;left:0;text-align:left;margin-left:0;margin-top:0;width:123.5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" filled="f" stroked="f">
              <v:textbox style="mso-fit-shape-to-text:t" inset="20pt,15pt,0,0">
                <w:txbxContent>
                  <w:p w14:paraId="4C6CF072" w14:textId="0F4763D7" w:rsidR="00127B7A" w:rsidRPr="00127B7A" w:rsidRDefault="00127B7A" w:rsidP="00127B7A">
                    <w:pPr>
                      <w:rPr>
                        <w:rFonts w:ascii="Aptos" w:eastAsia="Aptos" w:hAnsi="Aptos" w:cs="Aptos"/>
                        <w:noProof/>
                        <w:color w:val="008000"/>
                        <w:sz w:val="20"/>
                        <w:szCs w:val="20"/>
                      </w:rPr>
                    </w:pPr>
                  </w:p>
                </w:txbxContent>
              </v:textbox>
              <w10:wrap anchorx="page" anchory="page"/>
            </v:shape>
          </w:pict>
        </mc:Fallback>
      </mc:AlternateContent>
    </w:r>
    <w:r w:rsidR="00D84368">
      <w:rPr>
        <w:b/>
        <w:bCs/>
        <w:color w:val="196B24" w:themeColor="accent3"/>
        <w:sz w:val="32"/>
        <w:szCs w:val="32"/>
      </w:rPr>
      <w:t>Workstream Scope</w:t>
    </w:r>
  </w:p>
  <w:p w14:paraId="22067818" w14:textId="77777777" w:rsidR="00F50487" w:rsidRPr="006A6F77" w:rsidRDefault="00F50487" w:rsidP="00F50487">
    <w:pPr>
      <w:pStyle w:val="Header"/>
      <w:jc w:val="center"/>
      <w:rPr>
        <w:b/>
        <w:bCs/>
        <w:color w:val="196B24" w:themeColor="accent3"/>
        <w:sz w:val="12"/>
        <w:szCs w:val="12"/>
      </w:rPr>
    </w:pPr>
  </w:p>
  <w:p w14:paraId="6D39F44E" w14:textId="77777777" w:rsidR="00F50487" w:rsidRPr="00C60DFF" w:rsidRDefault="00F50487" w:rsidP="00F50487">
    <w:pPr>
      <w:pStyle w:val="Footer"/>
      <w:pBdr>
        <w:top w:val="thinThickSmallGap" w:sz="24" w:space="1" w:color="196B24" w:themeColor="accent3"/>
      </w:pBdr>
      <w:tabs>
        <w:tab w:val="clear" w:pos="4513"/>
        <w:tab w:val="clear" w:pos="9026"/>
        <w:tab w:val="right" w:pos="9639"/>
      </w:tabs>
      <w:rPr>
        <w:b/>
        <w:bCs/>
        <w:color w:val="196B24" w:themeColor="accent3"/>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D3A9" w14:textId="52C9C3D3" w:rsidR="00127B7A" w:rsidRDefault="00127B7A">
    <w:pPr>
      <w:pStyle w:val="Header"/>
    </w:pPr>
    <w:r>
      <w:rPr>
        <w:noProof/>
      </w:rPr>
      <mc:AlternateContent>
        <mc:Choice Requires="wps">
          <w:drawing>
            <wp:anchor distT="0" distB="0" distL="0" distR="0" simplePos="0" relativeHeight="251658240" behindDoc="0" locked="0" layoutInCell="1" allowOverlap="1" wp14:anchorId="216A4B99" wp14:editId="49146B32">
              <wp:simplePos x="635" y="635"/>
              <wp:positionH relativeFrom="page">
                <wp:align>left</wp:align>
              </wp:positionH>
              <wp:positionV relativeFrom="page">
                <wp:align>top</wp:align>
              </wp:positionV>
              <wp:extent cx="1569085" cy="345440"/>
              <wp:effectExtent l="0" t="0" r="12065" b="16510"/>
              <wp:wrapNone/>
              <wp:docPr id="1607508977" name="Text Box 1" descr="OFFICIAL-Non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085" cy="345440"/>
                      </a:xfrm>
                      <a:prstGeom prst="rect">
                        <a:avLst/>
                      </a:prstGeom>
                      <a:noFill/>
                      <a:ln>
                        <a:noFill/>
                      </a:ln>
                    </wps:spPr>
                    <wps:txbx>
                      <w:txbxContent>
                        <w:p w14:paraId="4CB4EE84" w14:textId="542F2760" w:rsidR="00127B7A" w:rsidRPr="00127B7A" w:rsidRDefault="00127B7A" w:rsidP="00127B7A">
                          <w:pPr>
                            <w:rPr>
                              <w:rFonts w:ascii="Aptos" w:eastAsia="Aptos" w:hAnsi="Aptos" w:cs="Aptos"/>
                              <w:noProof/>
                              <w:color w:val="008000"/>
                              <w:sz w:val="20"/>
                              <w:szCs w:val="20"/>
                            </w:rPr>
                          </w:pPr>
                          <w:r w:rsidRPr="00127B7A">
                            <w:rPr>
                              <w:rFonts w:ascii="Aptos" w:eastAsia="Aptos" w:hAnsi="Aptos" w:cs="Aptos"/>
                              <w:noProof/>
                              <w:color w:val="008000"/>
                              <w:sz w:val="20"/>
                              <w:szCs w:val="20"/>
                            </w:rPr>
                            <w:t>OFFICIAL-Non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6A4B99" id="_x0000_t202" coordsize="21600,21600" o:spt="202" path="m,l,21600r21600,l21600,xe">
              <v:stroke joinstyle="miter"/>
              <v:path gradientshapeok="t" o:connecttype="rect"/>
            </v:shapetype>
            <v:shape id="Text Box 1" o:spid="_x0000_s1029" type="#_x0000_t202" alt="OFFICIAL-Non Sensitive" style="position:absolute;margin-left:0;margin-top:0;width:123.5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yzFAIAACI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" filled="f" stroked="f">
              <v:textbox style="mso-fit-shape-to-text:t" inset="20pt,15pt,0,0">
                <w:txbxContent>
                  <w:p w14:paraId="4CB4EE84" w14:textId="542F2760" w:rsidR="00127B7A" w:rsidRPr="00127B7A" w:rsidRDefault="00127B7A" w:rsidP="00127B7A">
                    <w:pPr>
                      <w:rPr>
                        <w:rFonts w:ascii="Aptos" w:eastAsia="Aptos" w:hAnsi="Aptos" w:cs="Aptos"/>
                        <w:noProof/>
                        <w:color w:val="008000"/>
                        <w:sz w:val="20"/>
                        <w:szCs w:val="20"/>
                      </w:rPr>
                    </w:pPr>
                    <w:r w:rsidRPr="00127B7A">
                      <w:rPr>
                        <w:rFonts w:ascii="Aptos" w:eastAsia="Aptos" w:hAnsi="Aptos" w:cs="Aptos"/>
                        <w:noProof/>
                        <w:color w:val="008000"/>
                        <w:sz w:val="20"/>
                        <w:szCs w:val="20"/>
                      </w:rPr>
                      <w:t>OFFICIAL-Non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CF0"/>
    <w:multiLevelType w:val="hybridMultilevel"/>
    <w:tmpl w:val="918C13E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170549E"/>
    <w:multiLevelType w:val="multilevel"/>
    <w:tmpl w:val="096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828C7"/>
    <w:multiLevelType w:val="hybridMultilevel"/>
    <w:tmpl w:val="7554BADC"/>
    <w:lvl w:ilvl="0" w:tplc="796EE2EE">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020AC"/>
    <w:multiLevelType w:val="multilevel"/>
    <w:tmpl w:val="0ECE7B72"/>
    <w:numStyleLink w:val="Numbered"/>
  </w:abstractNum>
  <w:abstractNum w:abstractNumId="4" w15:restartNumberingAfterBreak="0">
    <w:nsid w:val="11523154"/>
    <w:multiLevelType w:val="hybridMultilevel"/>
    <w:tmpl w:val="45B489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68D59F7"/>
    <w:multiLevelType w:val="multilevel"/>
    <w:tmpl w:val="0ECE7B72"/>
    <w:styleLink w:val="Numbered"/>
    <w:lvl w:ilvl="0">
      <w:start w:val="1"/>
      <w:numFmt w:val="decimal"/>
      <w:lvlText w:val="%1.0"/>
      <w:lvlJc w:val="left"/>
      <w:pPr>
        <w:ind w:left="709" w:hanging="709"/>
      </w:pPr>
      <w:rPr>
        <w:rFonts w:ascii="Arial" w:hAnsi="Arial" w:hint="default"/>
        <w:b/>
        <w:i w:val="0"/>
      </w:rPr>
    </w:lvl>
    <w:lvl w:ilvl="1">
      <w:start w:val="1"/>
      <w:numFmt w:val="decimal"/>
      <w:lvlText w:val="%2.1"/>
      <w:lvlJc w:val="left"/>
      <w:pPr>
        <w:ind w:left="1418" w:hanging="709"/>
      </w:pPr>
      <w:rPr>
        <w:rFonts w:hint="default"/>
      </w:rPr>
    </w:lvl>
    <w:lvl w:ilvl="2">
      <w:start w:val="1"/>
      <w:numFmt w:val="lowerRoman"/>
      <w:lvlText w:val="%3)"/>
      <w:lvlJc w:val="left"/>
      <w:pPr>
        <w:ind w:left="2127" w:hanging="709"/>
      </w:pPr>
      <w:rPr>
        <w:rFonts w:hint="default"/>
      </w:rPr>
    </w:lvl>
    <w:lvl w:ilvl="3">
      <w:start w:val="1"/>
      <w:numFmt w:val="decimal"/>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6" w15:restartNumberingAfterBreak="0">
    <w:nsid w:val="212E231E"/>
    <w:multiLevelType w:val="hybridMultilevel"/>
    <w:tmpl w:val="DCB4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31A29"/>
    <w:multiLevelType w:val="hybridMultilevel"/>
    <w:tmpl w:val="88A0E9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7577215"/>
    <w:multiLevelType w:val="hybridMultilevel"/>
    <w:tmpl w:val="C24ED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354FC2"/>
    <w:multiLevelType w:val="hybridMultilevel"/>
    <w:tmpl w:val="1B2C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15C10"/>
    <w:multiLevelType w:val="hybridMultilevel"/>
    <w:tmpl w:val="30E29E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4A5F4C"/>
    <w:multiLevelType w:val="multilevel"/>
    <w:tmpl w:val="598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342DB"/>
    <w:multiLevelType w:val="hybridMultilevel"/>
    <w:tmpl w:val="F952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87AA0"/>
    <w:multiLevelType w:val="multilevel"/>
    <w:tmpl w:val="0ECE7B72"/>
    <w:numStyleLink w:val="Numbered"/>
  </w:abstractNum>
  <w:abstractNum w:abstractNumId="14" w15:restartNumberingAfterBreak="0">
    <w:nsid w:val="498B2C47"/>
    <w:multiLevelType w:val="hybridMultilevel"/>
    <w:tmpl w:val="D214D6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3ED7A4A"/>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74245C"/>
    <w:multiLevelType w:val="multilevel"/>
    <w:tmpl w:val="0ECE7B72"/>
    <w:numStyleLink w:val="Numbered"/>
  </w:abstractNum>
  <w:abstractNum w:abstractNumId="17" w15:restartNumberingAfterBreak="0">
    <w:nsid w:val="5E0E1290"/>
    <w:multiLevelType w:val="multilevel"/>
    <w:tmpl w:val="0ECE7B72"/>
    <w:numStyleLink w:val="Numbered"/>
  </w:abstractNum>
  <w:abstractNum w:abstractNumId="18" w15:restartNumberingAfterBreak="0">
    <w:nsid w:val="5F0E6A65"/>
    <w:multiLevelType w:val="hybridMultilevel"/>
    <w:tmpl w:val="F45C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C5007"/>
    <w:multiLevelType w:val="hybridMultilevel"/>
    <w:tmpl w:val="9808122C"/>
    <w:lvl w:ilvl="0" w:tplc="7C1A52C0">
      <w:start w:val="1"/>
      <w:numFmt w:val="bullet"/>
      <w:pStyle w:val="Bullet"/>
      <w:lvlText w:val=""/>
      <w:lvlJc w:val="left"/>
      <w:pPr>
        <w:ind w:left="2875" w:hanging="360"/>
      </w:pPr>
      <w:rPr>
        <w:rFonts w:ascii="Symbol" w:hAnsi="Symbol" w:hint="default"/>
      </w:rPr>
    </w:lvl>
    <w:lvl w:ilvl="1" w:tplc="0C009E0C" w:tentative="1">
      <w:start w:val="1"/>
      <w:numFmt w:val="bullet"/>
      <w:lvlText w:val="o"/>
      <w:lvlJc w:val="left"/>
      <w:pPr>
        <w:ind w:left="3595" w:hanging="360"/>
      </w:pPr>
      <w:rPr>
        <w:rFonts w:ascii="Courier New" w:hAnsi="Courier New" w:hint="default"/>
      </w:rPr>
    </w:lvl>
    <w:lvl w:ilvl="2" w:tplc="98F45322" w:tentative="1">
      <w:start w:val="1"/>
      <w:numFmt w:val="bullet"/>
      <w:lvlText w:val=""/>
      <w:lvlJc w:val="left"/>
      <w:pPr>
        <w:ind w:left="4315" w:hanging="360"/>
      </w:pPr>
      <w:rPr>
        <w:rFonts w:ascii="Wingdings" w:hAnsi="Wingdings" w:hint="default"/>
      </w:rPr>
    </w:lvl>
    <w:lvl w:ilvl="3" w:tplc="D262B1CC" w:tentative="1">
      <w:start w:val="1"/>
      <w:numFmt w:val="bullet"/>
      <w:lvlText w:val=""/>
      <w:lvlJc w:val="left"/>
      <w:pPr>
        <w:ind w:left="5035" w:hanging="360"/>
      </w:pPr>
      <w:rPr>
        <w:rFonts w:ascii="Symbol" w:hAnsi="Symbol" w:hint="default"/>
      </w:rPr>
    </w:lvl>
    <w:lvl w:ilvl="4" w:tplc="8622434E" w:tentative="1">
      <w:start w:val="1"/>
      <w:numFmt w:val="bullet"/>
      <w:lvlText w:val="o"/>
      <w:lvlJc w:val="left"/>
      <w:pPr>
        <w:ind w:left="5755" w:hanging="360"/>
      </w:pPr>
      <w:rPr>
        <w:rFonts w:ascii="Courier New" w:hAnsi="Courier New" w:hint="default"/>
      </w:rPr>
    </w:lvl>
    <w:lvl w:ilvl="5" w:tplc="75A4A496" w:tentative="1">
      <w:start w:val="1"/>
      <w:numFmt w:val="bullet"/>
      <w:lvlText w:val=""/>
      <w:lvlJc w:val="left"/>
      <w:pPr>
        <w:ind w:left="6475" w:hanging="360"/>
      </w:pPr>
      <w:rPr>
        <w:rFonts w:ascii="Wingdings" w:hAnsi="Wingdings" w:hint="default"/>
      </w:rPr>
    </w:lvl>
    <w:lvl w:ilvl="6" w:tplc="806E8956" w:tentative="1">
      <w:start w:val="1"/>
      <w:numFmt w:val="bullet"/>
      <w:lvlText w:val=""/>
      <w:lvlJc w:val="left"/>
      <w:pPr>
        <w:ind w:left="7195" w:hanging="360"/>
      </w:pPr>
      <w:rPr>
        <w:rFonts w:ascii="Symbol" w:hAnsi="Symbol" w:hint="default"/>
      </w:rPr>
    </w:lvl>
    <w:lvl w:ilvl="7" w:tplc="2B2A79CE" w:tentative="1">
      <w:start w:val="1"/>
      <w:numFmt w:val="bullet"/>
      <w:lvlText w:val="o"/>
      <w:lvlJc w:val="left"/>
      <w:pPr>
        <w:ind w:left="7915" w:hanging="360"/>
      </w:pPr>
      <w:rPr>
        <w:rFonts w:ascii="Courier New" w:hAnsi="Courier New" w:hint="default"/>
      </w:rPr>
    </w:lvl>
    <w:lvl w:ilvl="8" w:tplc="7478C2B2" w:tentative="1">
      <w:start w:val="1"/>
      <w:numFmt w:val="bullet"/>
      <w:lvlText w:val=""/>
      <w:lvlJc w:val="left"/>
      <w:pPr>
        <w:ind w:left="8635" w:hanging="360"/>
      </w:pPr>
      <w:rPr>
        <w:rFonts w:ascii="Wingdings" w:hAnsi="Wingdings" w:hint="default"/>
      </w:rPr>
    </w:lvl>
  </w:abstractNum>
  <w:abstractNum w:abstractNumId="20" w15:restartNumberingAfterBreak="0">
    <w:nsid w:val="60881CE4"/>
    <w:multiLevelType w:val="hybridMultilevel"/>
    <w:tmpl w:val="DCD8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C14B2"/>
    <w:multiLevelType w:val="hybridMultilevel"/>
    <w:tmpl w:val="5694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C08FC"/>
    <w:multiLevelType w:val="multilevel"/>
    <w:tmpl w:val="0ECE7B72"/>
    <w:numStyleLink w:val="Numbered"/>
  </w:abstractNum>
  <w:abstractNum w:abstractNumId="23" w15:restartNumberingAfterBreak="0">
    <w:nsid w:val="6D2A4077"/>
    <w:multiLevelType w:val="hybridMultilevel"/>
    <w:tmpl w:val="9AB6E7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245B91"/>
    <w:multiLevelType w:val="hybridMultilevel"/>
    <w:tmpl w:val="12F0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65550"/>
    <w:multiLevelType w:val="hybridMultilevel"/>
    <w:tmpl w:val="313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71146"/>
    <w:multiLevelType w:val="hybridMultilevel"/>
    <w:tmpl w:val="C4A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430902">
    <w:abstractNumId w:val="19"/>
  </w:num>
  <w:num w:numId="2" w16cid:durableId="1405225659">
    <w:abstractNumId w:val="15"/>
  </w:num>
  <w:num w:numId="3" w16cid:durableId="1354184690">
    <w:abstractNumId w:val="5"/>
  </w:num>
  <w:num w:numId="4" w16cid:durableId="1659772615">
    <w:abstractNumId w:val="22"/>
  </w:num>
  <w:num w:numId="5" w16cid:durableId="1303463962">
    <w:abstractNumId w:val="17"/>
  </w:num>
  <w:num w:numId="6" w16cid:durableId="1438481541">
    <w:abstractNumId w:val="16"/>
  </w:num>
  <w:num w:numId="7" w16cid:durableId="1684700034">
    <w:abstractNumId w:val="3"/>
  </w:num>
  <w:num w:numId="8" w16cid:durableId="2114200259">
    <w:abstractNumId w:val="13"/>
  </w:num>
  <w:num w:numId="9" w16cid:durableId="1924099207">
    <w:abstractNumId w:val="12"/>
  </w:num>
  <w:num w:numId="10" w16cid:durableId="1071540977">
    <w:abstractNumId w:val="24"/>
  </w:num>
  <w:num w:numId="11" w16cid:durableId="1980913898">
    <w:abstractNumId w:val="14"/>
  </w:num>
  <w:num w:numId="12" w16cid:durableId="761100178">
    <w:abstractNumId w:val="18"/>
  </w:num>
  <w:num w:numId="13" w16cid:durableId="25915466">
    <w:abstractNumId w:val="7"/>
  </w:num>
  <w:num w:numId="14" w16cid:durableId="718670464">
    <w:abstractNumId w:val="11"/>
  </w:num>
  <w:num w:numId="15" w16cid:durableId="896281995">
    <w:abstractNumId w:val="20"/>
  </w:num>
  <w:num w:numId="16" w16cid:durableId="266936099">
    <w:abstractNumId w:val="2"/>
  </w:num>
  <w:num w:numId="17" w16cid:durableId="1121726893">
    <w:abstractNumId w:val="0"/>
  </w:num>
  <w:num w:numId="18" w16cid:durableId="226455470">
    <w:abstractNumId w:val="10"/>
  </w:num>
  <w:num w:numId="19" w16cid:durableId="1916165402">
    <w:abstractNumId w:val="21"/>
  </w:num>
  <w:num w:numId="20" w16cid:durableId="1628387094">
    <w:abstractNumId w:val="25"/>
  </w:num>
  <w:num w:numId="21" w16cid:durableId="332489155">
    <w:abstractNumId w:val="1"/>
  </w:num>
  <w:num w:numId="22" w16cid:durableId="1185174355">
    <w:abstractNumId w:val="23"/>
  </w:num>
  <w:num w:numId="23" w16cid:durableId="894656806">
    <w:abstractNumId w:val="9"/>
  </w:num>
  <w:num w:numId="24" w16cid:durableId="762265576">
    <w:abstractNumId w:val="26"/>
  </w:num>
  <w:num w:numId="25" w16cid:durableId="1943565410">
    <w:abstractNumId w:val="8"/>
  </w:num>
  <w:num w:numId="26" w16cid:durableId="179393144">
    <w:abstractNumId w:val="4"/>
  </w:num>
  <w:num w:numId="27" w16cid:durableId="1553808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FF"/>
    <w:rsid w:val="00006543"/>
    <w:rsid w:val="00025ACA"/>
    <w:rsid w:val="0004080D"/>
    <w:rsid w:val="00045105"/>
    <w:rsid w:val="000477D1"/>
    <w:rsid w:val="00050058"/>
    <w:rsid w:val="0006008B"/>
    <w:rsid w:val="000652C6"/>
    <w:rsid w:val="00072929"/>
    <w:rsid w:val="00097D40"/>
    <w:rsid w:val="000A2FCD"/>
    <w:rsid w:val="000A7BD1"/>
    <w:rsid w:val="000C2AF4"/>
    <w:rsid w:val="000C3191"/>
    <w:rsid w:val="000D3A54"/>
    <w:rsid w:val="000D6C78"/>
    <w:rsid w:val="000E1DF4"/>
    <w:rsid w:val="000F3932"/>
    <w:rsid w:val="001039A9"/>
    <w:rsid w:val="0011271C"/>
    <w:rsid w:val="001130A8"/>
    <w:rsid w:val="0011455D"/>
    <w:rsid w:val="0012151F"/>
    <w:rsid w:val="001250DE"/>
    <w:rsid w:val="00127B7A"/>
    <w:rsid w:val="001625B2"/>
    <w:rsid w:val="00162D16"/>
    <w:rsid w:val="00167B4F"/>
    <w:rsid w:val="001722EE"/>
    <w:rsid w:val="001C2AA7"/>
    <w:rsid w:val="001D5547"/>
    <w:rsid w:val="001D62C3"/>
    <w:rsid w:val="001D63EC"/>
    <w:rsid w:val="001E1ED7"/>
    <w:rsid w:val="001E65F2"/>
    <w:rsid w:val="002107E8"/>
    <w:rsid w:val="00221249"/>
    <w:rsid w:val="002231E3"/>
    <w:rsid w:val="00227D7C"/>
    <w:rsid w:val="00230633"/>
    <w:rsid w:val="00233C23"/>
    <w:rsid w:val="00234ABE"/>
    <w:rsid w:val="002572FE"/>
    <w:rsid w:val="00261D25"/>
    <w:rsid w:val="00262AAE"/>
    <w:rsid w:val="00267C9E"/>
    <w:rsid w:val="00274FBD"/>
    <w:rsid w:val="00275CD1"/>
    <w:rsid w:val="00275F1D"/>
    <w:rsid w:val="00286D5A"/>
    <w:rsid w:val="00291743"/>
    <w:rsid w:val="00292C21"/>
    <w:rsid w:val="002A2F76"/>
    <w:rsid w:val="002C12E7"/>
    <w:rsid w:val="002D0754"/>
    <w:rsid w:val="002D0CC4"/>
    <w:rsid w:val="002E6843"/>
    <w:rsid w:val="002F0C72"/>
    <w:rsid w:val="002F0EEC"/>
    <w:rsid w:val="002F3169"/>
    <w:rsid w:val="002F3633"/>
    <w:rsid w:val="002F5F03"/>
    <w:rsid w:val="00324692"/>
    <w:rsid w:val="0032659F"/>
    <w:rsid w:val="00330667"/>
    <w:rsid w:val="003346D6"/>
    <w:rsid w:val="00353141"/>
    <w:rsid w:val="0036443F"/>
    <w:rsid w:val="003731C9"/>
    <w:rsid w:val="0039331E"/>
    <w:rsid w:val="00394B88"/>
    <w:rsid w:val="003A4E94"/>
    <w:rsid w:val="003B12FD"/>
    <w:rsid w:val="003B6B56"/>
    <w:rsid w:val="003D03BA"/>
    <w:rsid w:val="003E401F"/>
    <w:rsid w:val="003F1D52"/>
    <w:rsid w:val="003F2846"/>
    <w:rsid w:val="00401ADE"/>
    <w:rsid w:val="0041511A"/>
    <w:rsid w:val="00416963"/>
    <w:rsid w:val="004251C1"/>
    <w:rsid w:val="0043124B"/>
    <w:rsid w:val="00432553"/>
    <w:rsid w:val="004538ED"/>
    <w:rsid w:val="00486767"/>
    <w:rsid w:val="004A46E0"/>
    <w:rsid w:val="004A7489"/>
    <w:rsid w:val="004A75A5"/>
    <w:rsid w:val="004B0E24"/>
    <w:rsid w:val="004B72FF"/>
    <w:rsid w:val="004D61CA"/>
    <w:rsid w:val="004F0639"/>
    <w:rsid w:val="004F205A"/>
    <w:rsid w:val="004F4183"/>
    <w:rsid w:val="004F5D13"/>
    <w:rsid w:val="00501B02"/>
    <w:rsid w:val="00502E23"/>
    <w:rsid w:val="00513289"/>
    <w:rsid w:val="00536A23"/>
    <w:rsid w:val="00544530"/>
    <w:rsid w:val="005566F7"/>
    <w:rsid w:val="00560625"/>
    <w:rsid w:val="00565DE7"/>
    <w:rsid w:val="00580AFB"/>
    <w:rsid w:val="005B112A"/>
    <w:rsid w:val="005B3F02"/>
    <w:rsid w:val="005B44FF"/>
    <w:rsid w:val="005B58E8"/>
    <w:rsid w:val="005C0898"/>
    <w:rsid w:val="005C4B9C"/>
    <w:rsid w:val="005E3962"/>
    <w:rsid w:val="005E7F55"/>
    <w:rsid w:val="005F3E3C"/>
    <w:rsid w:val="006016A8"/>
    <w:rsid w:val="00602324"/>
    <w:rsid w:val="006154B3"/>
    <w:rsid w:val="0062044C"/>
    <w:rsid w:val="006241AD"/>
    <w:rsid w:val="0063101D"/>
    <w:rsid w:val="00632B0A"/>
    <w:rsid w:val="00647035"/>
    <w:rsid w:val="006636EC"/>
    <w:rsid w:val="00673FB6"/>
    <w:rsid w:val="00674C77"/>
    <w:rsid w:val="00684F73"/>
    <w:rsid w:val="00697462"/>
    <w:rsid w:val="006A190F"/>
    <w:rsid w:val="006A3DA7"/>
    <w:rsid w:val="006A6B10"/>
    <w:rsid w:val="006B348E"/>
    <w:rsid w:val="006C1A97"/>
    <w:rsid w:val="006C2D4A"/>
    <w:rsid w:val="006C44FB"/>
    <w:rsid w:val="006C5887"/>
    <w:rsid w:val="00722C6C"/>
    <w:rsid w:val="00723C28"/>
    <w:rsid w:val="007439B1"/>
    <w:rsid w:val="007560F4"/>
    <w:rsid w:val="00756B94"/>
    <w:rsid w:val="00775E2A"/>
    <w:rsid w:val="007A2734"/>
    <w:rsid w:val="007A30E8"/>
    <w:rsid w:val="007C7C48"/>
    <w:rsid w:val="007D4E4B"/>
    <w:rsid w:val="007D6505"/>
    <w:rsid w:val="007D7A08"/>
    <w:rsid w:val="007E708B"/>
    <w:rsid w:val="007F5680"/>
    <w:rsid w:val="00822482"/>
    <w:rsid w:val="00822BBC"/>
    <w:rsid w:val="00840008"/>
    <w:rsid w:val="008400FD"/>
    <w:rsid w:val="00852503"/>
    <w:rsid w:val="008546D6"/>
    <w:rsid w:val="00855077"/>
    <w:rsid w:val="008578D2"/>
    <w:rsid w:val="00857A7D"/>
    <w:rsid w:val="00867555"/>
    <w:rsid w:val="008770BE"/>
    <w:rsid w:val="008812D2"/>
    <w:rsid w:val="00884FAF"/>
    <w:rsid w:val="00885BAA"/>
    <w:rsid w:val="00885E3A"/>
    <w:rsid w:val="00891184"/>
    <w:rsid w:val="008A439D"/>
    <w:rsid w:val="008C2FEC"/>
    <w:rsid w:val="008C7BDF"/>
    <w:rsid w:val="008D0210"/>
    <w:rsid w:val="008D33C6"/>
    <w:rsid w:val="008D478B"/>
    <w:rsid w:val="008D5585"/>
    <w:rsid w:val="008F1E00"/>
    <w:rsid w:val="008F4A9A"/>
    <w:rsid w:val="00913BEC"/>
    <w:rsid w:val="00914CC5"/>
    <w:rsid w:val="0092729C"/>
    <w:rsid w:val="0093076C"/>
    <w:rsid w:val="00935B39"/>
    <w:rsid w:val="009466FE"/>
    <w:rsid w:val="009564EF"/>
    <w:rsid w:val="00974C50"/>
    <w:rsid w:val="00976746"/>
    <w:rsid w:val="00985DB4"/>
    <w:rsid w:val="009A7395"/>
    <w:rsid w:val="009A7C39"/>
    <w:rsid w:val="009D0E0D"/>
    <w:rsid w:val="009D507A"/>
    <w:rsid w:val="009D72C4"/>
    <w:rsid w:val="009E4513"/>
    <w:rsid w:val="009E7658"/>
    <w:rsid w:val="009F12DA"/>
    <w:rsid w:val="00A01324"/>
    <w:rsid w:val="00A015EC"/>
    <w:rsid w:val="00A1487C"/>
    <w:rsid w:val="00A217DA"/>
    <w:rsid w:val="00A404EA"/>
    <w:rsid w:val="00A5122D"/>
    <w:rsid w:val="00A55467"/>
    <w:rsid w:val="00A613BC"/>
    <w:rsid w:val="00A653D6"/>
    <w:rsid w:val="00A8518A"/>
    <w:rsid w:val="00A856A1"/>
    <w:rsid w:val="00A91BF3"/>
    <w:rsid w:val="00AD015D"/>
    <w:rsid w:val="00AD7057"/>
    <w:rsid w:val="00AE7F30"/>
    <w:rsid w:val="00B0132B"/>
    <w:rsid w:val="00B11AE9"/>
    <w:rsid w:val="00B16D5A"/>
    <w:rsid w:val="00B20361"/>
    <w:rsid w:val="00B2639A"/>
    <w:rsid w:val="00B27397"/>
    <w:rsid w:val="00B43DF3"/>
    <w:rsid w:val="00B61453"/>
    <w:rsid w:val="00B67A36"/>
    <w:rsid w:val="00B83460"/>
    <w:rsid w:val="00B844B7"/>
    <w:rsid w:val="00BB6EE4"/>
    <w:rsid w:val="00BC74FD"/>
    <w:rsid w:val="00C00F9E"/>
    <w:rsid w:val="00C04847"/>
    <w:rsid w:val="00C074EA"/>
    <w:rsid w:val="00C123DC"/>
    <w:rsid w:val="00C17D46"/>
    <w:rsid w:val="00C2085C"/>
    <w:rsid w:val="00C23D31"/>
    <w:rsid w:val="00C2605E"/>
    <w:rsid w:val="00C463F3"/>
    <w:rsid w:val="00C5370E"/>
    <w:rsid w:val="00C60DFF"/>
    <w:rsid w:val="00C65DCF"/>
    <w:rsid w:val="00C805FC"/>
    <w:rsid w:val="00C85297"/>
    <w:rsid w:val="00CA092D"/>
    <w:rsid w:val="00CA6C8E"/>
    <w:rsid w:val="00CA70B3"/>
    <w:rsid w:val="00CB22B5"/>
    <w:rsid w:val="00CD0258"/>
    <w:rsid w:val="00CD4D0B"/>
    <w:rsid w:val="00CF0763"/>
    <w:rsid w:val="00CF6F1C"/>
    <w:rsid w:val="00CF739F"/>
    <w:rsid w:val="00D00A14"/>
    <w:rsid w:val="00D02E3F"/>
    <w:rsid w:val="00D0621F"/>
    <w:rsid w:val="00D13C7D"/>
    <w:rsid w:val="00D13C85"/>
    <w:rsid w:val="00D24CF9"/>
    <w:rsid w:val="00D4303D"/>
    <w:rsid w:val="00D6359E"/>
    <w:rsid w:val="00D84368"/>
    <w:rsid w:val="00D90937"/>
    <w:rsid w:val="00D96231"/>
    <w:rsid w:val="00DA284E"/>
    <w:rsid w:val="00DA6585"/>
    <w:rsid w:val="00DB0DBF"/>
    <w:rsid w:val="00DB58F5"/>
    <w:rsid w:val="00DB657C"/>
    <w:rsid w:val="00DB7E20"/>
    <w:rsid w:val="00DF3993"/>
    <w:rsid w:val="00DF7F85"/>
    <w:rsid w:val="00E0398E"/>
    <w:rsid w:val="00E15FD0"/>
    <w:rsid w:val="00E17C58"/>
    <w:rsid w:val="00E34CA8"/>
    <w:rsid w:val="00E3720B"/>
    <w:rsid w:val="00E4628B"/>
    <w:rsid w:val="00E523B3"/>
    <w:rsid w:val="00E55953"/>
    <w:rsid w:val="00E714C3"/>
    <w:rsid w:val="00E831D3"/>
    <w:rsid w:val="00EA0E1D"/>
    <w:rsid w:val="00EA132D"/>
    <w:rsid w:val="00EA3D46"/>
    <w:rsid w:val="00EC0962"/>
    <w:rsid w:val="00EC3CB9"/>
    <w:rsid w:val="00ED321F"/>
    <w:rsid w:val="00EF7F6F"/>
    <w:rsid w:val="00F023C3"/>
    <w:rsid w:val="00F076E4"/>
    <w:rsid w:val="00F10137"/>
    <w:rsid w:val="00F102BF"/>
    <w:rsid w:val="00F20678"/>
    <w:rsid w:val="00F33B22"/>
    <w:rsid w:val="00F50487"/>
    <w:rsid w:val="00F54C84"/>
    <w:rsid w:val="00F54DD5"/>
    <w:rsid w:val="00F57723"/>
    <w:rsid w:val="00F616D2"/>
    <w:rsid w:val="00F775E3"/>
    <w:rsid w:val="00F8108B"/>
    <w:rsid w:val="00F8182E"/>
    <w:rsid w:val="00F95E1A"/>
    <w:rsid w:val="00FA5131"/>
    <w:rsid w:val="00FC1256"/>
    <w:rsid w:val="00FC57FC"/>
    <w:rsid w:val="00FD7AB4"/>
    <w:rsid w:val="00FE07A3"/>
    <w:rsid w:val="00FF3A15"/>
    <w:rsid w:val="00FF3E6C"/>
    <w:rsid w:val="0190BBA8"/>
    <w:rsid w:val="019538A9"/>
    <w:rsid w:val="021FC3B9"/>
    <w:rsid w:val="02856A79"/>
    <w:rsid w:val="02B873E7"/>
    <w:rsid w:val="03159F82"/>
    <w:rsid w:val="03CAE05D"/>
    <w:rsid w:val="03F27584"/>
    <w:rsid w:val="04258EED"/>
    <w:rsid w:val="060DD3E2"/>
    <w:rsid w:val="064BCA84"/>
    <w:rsid w:val="06749D76"/>
    <w:rsid w:val="07874A0E"/>
    <w:rsid w:val="092B4964"/>
    <w:rsid w:val="094BB820"/>
    <w:rsid w:val="0A0B1D4D"/>
    <w:rsid w:val="0ADF4673"/>
    <w:rsid w:val="0D403E4F"/>
    <w:rsid w:val="100850DC"/>
    <w:rsid w:val="10738027"/>
    <w:rsid w:val="107F76D2"/>
    <w:rsid w:val="10F625A6"/>
    <w:rsid w:val="10FF4FBE"/>
    <w:rsid w:val="11154D78"/>
    <w:rsid w:val="11DACAD0"/>
    <w:rsid w:val="13E17AA1"/>
    <w:rsid w:val="1589B2B3"/>
    <w:rsid w:val="15932ABA"/>
    <w:rsid w:val="15AC3035"/>
    <w:rsid w:val="15C88050"/>
    <w:rsid w:val="15D877C9"/>
    <w:rsid w:val="166E6F4D"/>
    <w:rsid w:val="170D0656"/>
    <w:rsid w:val="1786319B"/>
    <w:rsid w:val="17E93237"/>
    <w:rsid w:val="180BDC96"/>
    <w:rsid w:val="18F5ED57"/>
    <w:rsid w:val="191141EE"/>
    <w:rsid w:val="19846F74"/>
    <w:rsid w:val="1A020B50"/>
    <w:rsid w:val="1ABF0A73"/>
    <w:rsid w:val="1AE5B399"/>
    <w:rsid w:val="1C7F175A"/>
    <w:rsid w:val="1D0A7988"/>
    <w:rsid w:val="1D1CA53D"/>
    <w:rsid w:val="1D30B6D1"/>
    <w:rsid w:val="1EB1176F"/>
    <w:rsid w:val="1FF72E42"/>
    <w:rsid w:val="1FFF005D"/>
    <w:rsid w:val="20466583"/>
    <w:rsid w:val="20BB7DC2"/>
    <w:rsid w:val="21BB6D8E"/>
    <w:rsid w:val="22069059"/>
    <w:rsid w:val="225C2A35"/>
    <w:rsid w:val="22666498"/>
    <w:rsid w:val="229BECD6"/>
    <w:rsid w:val="22ACF789"/>
    <w:rsid w:val="241D87F8"/>
    <w:rsid w:val="25481BF8"/>
    <w:rsid w:val="256F22ED"/>
    <w:rsid w:val="25751D20"/>
    <w:rsid w:val="25D3288A"/>
    <w:rsid w:val="26015C06"/>
    <w:rsid w:val="27CCBF5B"/>
    <w:rsid w:val="27E0980F"/>
    <w:rsid w:val="285A0772"/>
    <w:rsid w:val="29F1BB1F"/>
    <w:rsid w:val="2A0D1C03"/>
    <w:rsid w:val="2B3CF77B"/>
    <w:rsid w:val="2C3FC927"/>
    <w:rsid w:val="2C458042"/>
    <w:rsid w:val="2CDAD0A8"/>
    <w:rsid w:val="2DE2BF3A"/>
    <w:rsid w:val="2E3B0F59"/>
    <w:rsid w:val="2FB137EC"/>
    <w:rsid w:val="329A8D54"/>
    <w:rsid w:val="32A2D795"/>
    <w:rsid w:val="353E7AC1"/>
    <w:rsid w:val="3554541F"/>
    <w:rsid w:val="35E3A31C"/>
    <w:rsid w:val="35F26C54"/>
    <w:rsid w:val="360C3C2F"/>
    <w:rsid w:val="3619A437"/>
    <w:rsid w:val="36AD5E23"/>
    <w:rsid w:val="36DE6948"/>
    <w:rsid w:val="36F51157"/>
    <w:rsid w:val="3734B168"/>
    <w:rsid w:val="37963D29"/>
    <w:rsid w:val="392D7BD4"/>
    <w:rsid w:val="394F135A"/>
    <w:rsid w:val="3B62F17F"/>
    <w:rsid w:val="3BE75F52"/>
    <w:rsid w:val="3C181E4E"/>
    <w:rsid w:val="3C3B83F3"/>
    <w:rsid w:val="3D63D751"/>
    <w:rsid w:val="3F639DBE"/>
    <w:rsid w:val="40252E53"/>
    <w:rsid w:val="41C67896"/>
    <w:rsid w:val="4227637C"/>
    <w:rsid w:val="4351C9BB"/>
    <w:rsid w:val="448CB434"/>
    <w:rsid w:val="44C1926B"/>
    <w:rsid w:val="44C2691A"/>
    <w:rsid w:val="463B80FE"/>
    <w:rsid w:val="47B75BFD"/>
    <w:rsid w:val="47C6F234"/>
    <w:rsid w:val="489CFFC1"/>
    <w:rsid w:val="48A23344"/>
    <w:rsid w:val="494A6890"/>
    <w:rsid w:val="4AEEB7A6"/>
    <w:rsid w:val="4B723A24"/>
    <w:rsid w:val="4CC875B3"/>
    <w:rsid w:val="4D28CD4A"/>
    <w:rsid w:val="4D497207"/>
    <w:rsid w:val="4E0F93FA"/>
    <w:rsid w:val="4E5DCD43"/>
    <w:rsid w:val="4E95DB0A"/>
    <w:rsid w:val="4EEE041E"/>
    <w:rsid w:val="4EF96116"/>
    <w:rsid w:val="4F2013AF"/>
    <w:rsid w:val="4FC39606"/>
    <w:rsid w:val="4FFC936D"/>
    <w:rsid w:val="5091CBA6"/>
    <w:rsid w:val="50F3B524"/>
    <w:rsid w:val="5235B24D"/>
    <w:rsid w:val="52D1BF9C"/>
    <w:rsid w:val="53D646EB"/>
    <w:rsid w:val="55553466"/>
    <w:rsid w:val="55641E9E"/>
    <w:rsid w:val="563D53AB"/>
    <w:rsid w:val="57FBA9D3"/>
    <w:rsid w:val="582828A0"/>
    <w:rsid w:val="58C3FB8A"/>
    <w:rsid w:val="59FD5F32"/>
    <w:rsid w:val="5A2357BB"/>
    <w:rsid w:val="5AB52086"/>
    <w:rsid w:val="5BBDD485"/>
    <w:rsid w:val="5BDABEF8"/>
    <w:rsid w:val="5C54F0E9"/>
    <w:rsid w:val="5C759864"/>
    <w:rsid w:val="5CD1C609"/>
    <w:rsid w:val="5D5EF3E1"/>
    <w:rsid w:val="5D670FFF"/>
    <w:rsid w:val="5E82AF32"/>
    <w:rsid w:val="5F264FC9"/>
    <w:rsid w:val="5F5091AE"/>
    <w:rsid w:val="5F95362F"/>
    <w:rsid w:val="606A4A66"/>
    <w:rsid w:val="617DB661"/>
    <w:rsid w:val="6294E053"/>
    <w:rsid w:val="6368DB3F"/>
    <w:rsid w:val="637354DA"/>
    <w:rsid w:val="64A00ACC"/>
    <w:rsid w:val="64D1FFB9"/>
    <w:rsid w:val="65744E1D"/>
    <w:rsid w:val="66119173"/>
    <w:rsid w:val="669F3112"/>
    <w:rsid w:val="67963897"/>
    <w:rsid w:val="6878B35F"/>
    <w:rsid w:val="68E29E81"/>
    <w:rsid w:val="690B59CB"/>
    <w:rsid w:val="697F3C5F"/>
    <w:rsid w:val="6A6915C9"/>
    <w:rsid w:val="6A85C57E"/>
    <w:rsid w:val="6B7DFA80"/>
    <w:rsid w:val="6BF9FB11"/>
    <w:rsid w:val="6BFA708B"/>
    <w:rsid w:val="6C454239"/>
    <w:rsid w:val="6CCFBCC1"/>
    <w:rsid w:val="6CEBD18F"/>
    <w:rsid w:val="6DB5C766"/>
    <w:rsid w:val="6E78A4C6"/>
    <w:rsid w:val="6EB0871B"/>
    <w:rsid w:val="6F9F82CA"/>
    <w:rsid w:val="70A13082"/>
    <w:rsid w:val="70B8A4F0"/>
    <w:rsid w:val="71D8669E"/>
    <w:rsid w:val="7237BB58"/>
    <w:rsid w:val="7418518C"/>
    <w:rsid w:val="743B2699"/>
    <w:rsid w:val="745FF630"/>
    <w:rsid w:val="750B27BD"/>
    <w:rsid w:val="75827405"/>
    <w:rsid w:val="76641475"/>
    <w:rsid w:val="77DCB783"/>
    <w:rsid w:val="78193D31"/>
    <w:rsid w:val="78907F56"/>
    <w:rsid w:val="7925F5D2"/>
    <w:rsid w:val="79A89F5B"/>
    <w:rsid w:val="79E02C6D"/>
    <w:rsid w:val="7AD76CB4"/>
    <w:rsid w:val="7BD1AB61"/>
    <w:rsid w:val="7BFAEECB"/>
    <w:rsid w:val="7C525D28"/>
    <w:rsid w:val="7C83C5F7"/>
    <w:rsid w:val="7CD0BF18"/>
    <w:rsid w:val="7D19C213"/>
    <w:rsid w:val="7D310A99"/>
    <w:rsid w:val="7D64CA92"/>
    <w:rsid w:val="7D967244"/>
    <w:rsid w:val="7E28184E"/>
    <w:rsid w:val="7EA71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56D3"/>
  <w15:chartTrackingRefBased/>
  <w15:docId w15:val="{AD42144F-A3B8-45A7-B191-19705FAA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B2"/>
    <w:pPr>
      <w:spacing w:after="0" w:line="240" w:lineRule="auto"/>
    </w:pPr>
    <w:rPr>
      <w:rFonts w:ascii="Arial" w:hAnsi="Arial"/>
    </w:rPr>
  </w:style>
  <w:style w:type="paragraph" w:styleId="Heading1">
    <w:name w:val="heading 1"/>
    <w:aliases w:val="Heading Bold"/>
    <w:basedOn w:val="Normal"/>
    <w:next w:val="Normal"/>
    <w:link w:val="Heading1Char"/>
    <w:uiPriority w:val="9"/>
    <w:qFormat/>
    <w:rsid w:val="001625B2"/>
    <w:pPr>
      <w:keepNext/>
      <w:keepLines/>
      <w:outlineLvl w:val="0"/>
    </w:pPr>
    <w:rPr>
      <w:rFonts w:eastAsiaTheme="majorEastAsia" w:cstheme="majorBidi"/>
      <w:b/>
      <w:szCs w:val="32"/>
    </w:rPr>
  </w:style>
  <w:style w:type="paragraph" w:styleId="Heading2">
    <w:name w:val="heading 2"/>
    <w:aliases w:val="Italics"/>
    <w:basedOn w:val="Normal"/>
    <w:next w:val="Normal"/>
    <w:link w:val="Heading2Char"/>
    <w:uiPriority w:val="9"/>
    <w:unhideWhenUsed/>
    <w:qFormat/>
    <w:rsid w:val="001625B2"/>
    <w:pPr>
      <w:keepNext/>
      <w:keepLines/>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3B12FD"/>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60D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0D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0D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0D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0D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0D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625B2"/>
    <w:pPr>
      <w:spacing w:after="0" w:line="240" w:lineRule="auto"/>
    </w:pPr>
    <w:rPr>
      <w:rFonts w:ascii="Arial" w:hAnsi="Arial"/>
    </w:rPr>
  </w:style>
  <w:style w:type="character" w:customStyle="1" w:styleId="Heading1Char">
    <w:name w:val="Heading 1 Char"/>
    <w:aliases w:val="Heading Bold Char"/>
    <w:basedOn w:val="DefaultParagraphFont"/>
    <w:link w:val="Heading1"/>
    <w:uiPriority w:val="9"/>
    <w:rsid w:val="001625B2"/>
    <w:rPr>
      <w:rFonts w:ascii="Arial" w:eastAsiaTheme="majorEastAsia" w:hAnsi="Arial" w:cstheme="majorBidi"/>
      <w:b/>
      <w:szCs w:val="32"/>
    </w:rPr>
  </w:style>
  <w:style w:type="character" w:customStyle="1" w:styleId="Heading2Char">
    <w:name w:val="Heading 2 Char"/>
    <w:aliases w:val="Italics Char"/>
    <w:basedOn w:val="DefaultParagraphFont"/>
    <w:link w:val="Heading2"/>
    <w:uiPriority w:val="9"/>
    <w:rsid w:val="001625B2"/>
    <w:rPr>
      <w:rFonts w:ascii="Arial" w:eastAsiaTheme="majorEastAsia" w:hAnsi="Arial" w:cstheme="majorBidi"/>
      <w:b/>
      <w:i/>
      <w:szCs w:val="26"/>
    </w:rPr>
  </w:style>
  <w:style w:type="paragraph" w:customStyle="1" w:styleId="Bullet">
    <w:name w:val="Bullet"/>
    <w:basedOn w:val="Normal"/>
    <w:qFormat/>
    <w:rsid w:val="003B12FD"/>
    <w:pPr>
      <w:numPr>
        <w:numId w:val="1"/>
      </w:numPr>
      <w:ind w:left="714" w:hanging="357"/>
    </w:pPr>
  </w:style>
  <w:style w:type="character" w:customStyle="1" w:styleId="Heading3Char">
    <w:name w:val="Heading 3 Char"/>
    <w:basedOn w:val="DefaultParagraphFont"/>
    <w:link w:val="Heading3"/>
    <w:uiPriority w:val="9"/>
    <w:rsid w:val="003B12FD"/>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C00F9E"/>
    <w:pPr>
      <w:ind w:left="720"/>
      <w:contextualSpacing/>
    </w:pPr>
  </w:style>
  <w:style w:type="numbering" w:customStyle="1" w:styleId="Numbered">
    <w:name w:val="Numbered"/>
    <w:uiPriority w:val="99"/>
    <w:rsid w:val="003B12FD"/>
    <w:pPr>
      <w:numPr>
        <w:numId w:val="3"/>
      </w:numPr>
    </w:pPr>
  </w:style>
  <w:style w:type="character" w:customStyle="1" w:styleId="Heading4Char">
    <w:name w:val="Heading 4 Char"/>
    <w:basedOn w:val="DefaultParagraphFont"/>
    <w:link w:val="Heading4"/>
    <w:uiPriority w:val="9"/>
    <w:semiHidden/>
    <w:rsid w:val="00C60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DFF"/>
    <w:rPr>
      <w:rFonts w:eastAsiaTheme="majorEastAsia" w:cstheme="majorBidi"/>
      <w:color w:val="272727" w:themeColor="text1" w:themeTint="D8"/>
    </w:rPr>
  </w:style>
  <w:style w:type="paragraph" w:styleId="Title">
    <w:name w:val="Title"/>
    <w:basedOn w:val="Normal"/>
    <w:next w:val="Normal"/>
    <w:link w:val="TitleChar"/>
    <w:uiPriority w:val="10"/>
    <w:qFormat/>
    <w:rsid w:val="00C60D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D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D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0DFF"/>
    <w:rPr>
      <w:rFonts w:ascii="Arial" w:hAnsi="Arial"/>
      <w:i/>
      <w:iCs/>
      <w:color w:val="404040" w:themeColor="text1" w:themeTint="BF"/>
    </w:rPr>
  </w:style>
  <w:style w:type="character" w:styleId="IntenseEmphasis">
    <w:name w:val="Intense Emphasis"/>
    <w:basedOn w:val="DefaultParagraphFont"/>
    <w:uiPriority w:val="21"/>
    <w:qFormat/>
    <w:rsid w:val="00C60DFF"/>
    <w:rPr>
      <w:i/>
      <w:iCs/>
      <w:color w:val="0F4761" w:themeColor="accent1" w:themeShade="BF"/>
    </w:rPr>
  </w:style>
  <w:style w:type="paragraph" w:styleId="IntenseQuote">
    <w:name w:val="Intense Quote"/>
    <w:basedOn w:val="Normal"/>
    <w:next w:val="Normal"/>
    <w:link w:val="IntenseQuoteChar"/>
    <w:uiPriority w:val="30"/>
    <w:qFormat/>
    <w:rsid w:val="00C60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DFF"/>
    <w:rPr>
      <w:rFonts w:ascii="Arial" w:hAnsi="Arial"/>
      <w:i/>
      <w:iCs/>
      <w:color w:val="0F4761" w:themeColor="accent1" w:themeShade="BF"/>
    </w:rPr>
  </w:style>
  <w:style w:type="character" w:styleId="IntenseReference">
    <w:name w:val="Intense Reference"/>
    <w:basedOn w:val="DefaultParagraphFont"/>
    <w:uiPriority w:val="32"/>
    <w:qFormat/>
    <w:rsid w:val="00C60DFF"/>
    <w:rPr>
      <w:b/>
      <w:bCs/>
      <w:smallCaps/>
      <w:color w:val="0F4761" w:themeColor="accent1" w:themeShade="BF"/>
      <w:spacing w:val="5"/>
    </w:rPr>
  </w:style>
  <w:style w:type="table" w:styleId="TableGrid">
    <w:name w:val="Table Grid"/>
    <w:basedOn w:val="TableNormal"/>
    <w:uiPriority w:val="39"/>
    <w:rsid w:val="00C6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0DFF"/>
    <w:pPr>
      <w:tabs>
        <w:tab w:val="center" w:pos="4513"/>
        <w:tab w:val="right" w:pos="9026"/>
      </w:tabs>
    </w:pPr>
  </w:style>
  <w:style w:type="character" w:customStyle="1" w:styleId="HeaderChar">
    <w:name w:val="Header Char"/>
    <w:basedOn w:val="DefaultParagraphFont"/>
    <w:link w:val="Header"/>
    <w:uiPriority w:val="99"/>
    <w:rsid w:val="00C60DFF"/>
    <w:rPr>
      <w:rFonts w:ascii="Arial" w:hAnsi="Arial"/>
    </w:rPr>
  </w:style>
  <w:style w:type="paragraph" w:styleId="Footer">
    <w:name w:val="footer"/>
    <w:basedOn w:val="Normal"/>
    <w:link w:val="FooterChar"/>
    <w:uiPriority w:val="99"/>
    <w:unhideWhenUsed/>
    <w:rsid w:val="00C60DFF"/>
    <w:pPr>
      <w:tabs>
        <w:tab w:val="center" w:pos="4513"/>
        <w:tab w:val="right" w:pos="9026"/>
      </w:tabs>
    </w:pPr>
  </w:style>
  <w:style w:type="character" w:customStyle="1" w:styleId="FooterChar">
    <w:name w:val="Footer Char"/>
    <w:basedOn w:val="DefaultParagraphFont"/>
    <w:link w:val="Footer"/>
    <w:uiPriority w:val="99"/>
    <w:rsid w:val="00C60DFF"/>
    <w:rPr>
      <w:rFonts w:ascii="Arial" w:hAnsi="Arial"/>
    </w:rPr>
  </w:style>
  <w:style w:type="paragraph" w:styleId="Revision">
    <w:name w:val="Revision"/>
    <w:hidden/>
    <w:uiPriority w:val="99"/>
    <w:semiHidden/>
    <w:rsid w:val="00976746"/>
    <w:pPr>
      <w:spacing w:after="0" w:line="240" w:lineRule="auto"/>
    </w:pPr>
    <w:rPr>
      <w:rFonts w:ascii="Arial" w:hAnsi="Arial"/>
    </w:rPr>
  </w:style>
  <w:style w:type="paragraph" w:styleId="NormalWeb">
    <w:name w:val="Normal (Web)"/>
    <w:basedOn w:val="Normal"/>
    <w:uiPriority w:val="99"/>
    <w:unhideWhenUsed/>
    <w:rsid w:val="00167B4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C5370E"/>
    <w:rPr>
      <w:sz w:val="16"/>
      <w:szCs w:val="16"/>
    </w:rPr>
  </w:style>
  <w:style w:type="paragraph" w:styleId="CommentText">
    <w:name w:val="annotation text"/>
    <w:basedOn w:val="Normal"/>
    <w:link w:val="CommentTextChar"/>
    <w:uiPriority w:val="99"/>
    <w:unhideWhenUsed/>
    <w:rsid w:val="00C5370E"/>
    <w:rPr>
      <w:sz w:val="20"/>
      <w:szCs w:val="20"/>
    </w:rPr>
  </w:style>
  <w:style w:type="character" w:customStyle="1" w:styleId="CommentTextChar">
    <w:name w:val="Comment Text Char"/>
    <w:basedOn w:val="DefaultParagraphFont"/>
    <w:link w:val="CommentText"/>
    <w:uiPriority w:val="99"/>
    <w:rsid w:val="00C5370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370E"/>
    <w:rPr>
      <w:b/>
      <w:bCs/>
    </w:rPr>
  </w:style>
  <w:style w:type="character" w:customStyle="1" w:styleId="CommentSubjectChar">
    <w:name w:val="Comment Subject Char"/>
    <w:basedOn w:val="CommentTextChar"/>
    <w:link w:val="CommentSubject"/>
    <w:uiPriority w:val="99"/>
    <w:semiHidden/>
    <w:rsid w:val="00C5370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18B6959843C4CA2A165C8ECFF5D80" ma:contentTypeVersion="11" ma:contentTypeDescription="Create a new document." ma:contentTypeScope="" ma:versionID="02e9ad30c04c4b633544d2b2bbbe4763">
  <xsd:schema xmlns:xsd="http://www.w3.org/2001/XMLSchema" xmlns:xs="http://www.w3.org/2001/XMLSchema" xmlns:p="http://schemas.microsoft.com/office/2006/metadata/properties" xmlns:ns2="5aa47500-f024-480c-b54a-37558367a81a" xmlns:ns3="6dae25aa-ef91-4429-b225-6961df045b64" targetNamespace="http://schemas.microsoft.com/office/2006/metadata/properties" ma:root="true" ma:fieldsID="786f084d761d05ca800854a6c78823b4" ns2:_="" ns3:_="">
    <xsd:import namespace="5aa47500-f024-480c-b54a-37558367a81a"/>
    <xsd:import namespace="6dae25aa-ef91-4429-b225-6961df04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47500-f024-480c-b54a-37558367a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e25aa-ef91-4429-b225-6961df045b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f77a7b-3116-4638-9a90-9c8e6e24cae5}" ma:internalName="TaxCatchAll" ma:showField="CatchAllData" ma:web="6dae25aa-ef91-4429-b225-6961df04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ae25aa-ef91-4429-b225-6961df045b64" xsi:nil="true"/>
    <lcf76f155ced4ddcb4097134ff3c332f xmlns="5aa47500-f024-480c-b54a-37558367a81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0427B-1307-4A4C-80D2-FFE4955EE559}">
  <ds:schemaRefs>
    <ds:schemaRef ds:uri="http://schemas.microsoft.com/sharepoint/v3/contenttype/forms"/>
  </ds:schemaRefs>
</ds:datastoreItem>
</file>

<file path=customXml/itemProps2.xml><?xml version="1.0" encoding="utf-8"?>
<ds:datastoreItem xmlns:ds="http://schemas.openxmlformats.org/officeDocument/2006/customXml" ds:itemID="{2F4A1D5C-46CD-4706-BD22-070B7A572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47500-f024-480c-b54a-37558367a81a"/>
    <ds:schemaRef ds:uri="6dae25aa-ef91-4429-b225-6961df04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2D75B-2412-4940-90D4-7EBC7D44B255}">
  <ds:schemaRefs>
    <ds:schemaRef ds:uri="5aa47500-f024-480c-b54a-37558367a81a"/>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6dae25aa-ef91-4429-b225-6961df045b6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A9120DE-1D51-4CD3-9AD6-92340D89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2156</Words>
  <Characters>12294</Characters>
  <Application>Microsoft Office Word</Application>
  <DocSecurity>0</DocSecurity>
  <Lines>102</Lines>
  <Paragraphs>28</Paragraphs>
  <ScaleCrop>false</ScaleCrop>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Turnbull</dc:creator>
  <cp:keywords/>
  <dc:description/>
  <cp:lastModifiedBy>Nicola McGann</cp:lastModifiedBy>
  <cp:revision>19</cp:revision>
  <dcterms:created xsi:type="dcterms:W3CDTF">2026-03-31T16:13:00Z</dcterms:created>
  <dcterms:modified xsi:type="dcterms:W3CDTF">2026-04-22T11:23:00Z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0x0101007A418B6959843C4CA2A165C8ECFF5D80</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5fd0a3f1,11cdf69,2ec909ef</vt:lpwstr>
  </property>
  <property fmtid="{D5CDD505-2E9C-101B-9397-08002B2CF9AE}" pid="6" name="ClassificationContentMarkingHeaderFontProps">
    <vt:lpwstr>#008000,10,Aptos</vt:lpwstr>
  </property>
  <property fmtid="{D5CDD505-2E9C-101B-9397-08002B2CF9AE}" pid="7" name="ClassificationContentMarkingHeaderText">
    <vt:lpwstr>OFFICIAL-Non Sensitive</vt:lpwstr>
  </property>
  <property fmtid="{D5CDD505-2E9C-101B-9397-08002B2CF9AE}" pid="8" name="ClassificationContentMarkingFooterShapeIds">
    <vt:lpwstr>4034086b,3367ce9a,750c38cc</vt:lpwstr>
  </property>
  <property fmtid="{D5CDD505-2E9C-101B-9397-08002B2CF9AE}" pid="9" name="ClassificationContentMarkingFooterFontProps">
    <vt:lpwstr>#008000,10,Aptos</vt:lpwstr>
  </property>
  <property fmtid="{D5CDD505-2E9C-101B-9397-08002B2CF9AE}" pid="10" name="ClassificationContentMarkingFooterText">
    <vt:lpwstr>OFFICIAL-Non Sensitive</vt:lpwstr>
  </property>
  <property fmtid="{D5CDD505-2E9C-101B-9397-08002B2CF9AE}" pid="11" name="MSIP_Label_304a22f4-6988-47b9-96e4-7876d5ef4f1f_Enabled">
    <vt:lpwstr>true</vt:lpwstr>
  </property>
  <property fmtid="{D5CDD505-2E9C-101B-9397-08002B2CF9AE}" pid="12" name="MSIP_Label_304a22f4-6988-47b9-96e4-7876d5ef4f1f_SetDate">
    <vt:lpwstr>2026-02-10T15:33:58Z</vt:lpwstr>
  </property>
  <property fmtid="{D5CDD505-2E9C-101B-9397-08002B2CF9AE}" pid="13" name="MSIP_Label_304a22f4-6988-47b9-96e4-7876d5ef4f1f_Method">
    <vt:lpwstr>Privileged</vt:lpwstr>
  </property>
  <property fmtid="{D5CDD505-2E9C-101B-9397-08002B2CF9AE}" pid="14" name="MSIP_Label_304a22f4-6988-47b9-96e4-7876d5ef4f1f_Name">
    <vt:lpwstr>OFFICIAL-Non Sensitive</vt:lpwstr>
  </property>
  <property fmtid="{D5CDD505-2E9C-101B-9397-08002B2CF9AE}" pid="15" name="MSIP_Label_304a22f4-6988-47b9-96e4-7876d5ef4f1f_SiteId">
    <vt:lpwstr>ae8c4625-6448-4d14-b856-67b7e052d4b0</vt:lpwstr>
  </property>
  <property fmtid="{D5CDD505-2E9C-101B-9397-08002B2CF9AE}" pid="16" name="MSIP_Label_304a22f4-6988-47b9-96e4-7876d5ef4f1f_ActionId">
    <vt:lpwstr>ffd71017-afbc-4150-a90a-4f4486133a01</vt:lpwstr>
  </property>
  <property fmtid="{D5CDD505-2E9C-101B-9397-08002B2CF9AE}" pid="17" name="MSIP_Label_304a22f4-6988-47b9-96e4-7876d5ef4f1f_ContentBits">
    <vt:lpwstr>3</vt:lpwstr>
  </property>
  <property fmtid="{D5CDD505-2E9C-101B-9397-08002B2CF9AE}" pid="18" name="MSIP_Label_304a22f4-6988-47b9-96e4-7876d5ef4f1f_Tag">
    <vt:lpwstr>10, 0, 1, 1</vt:lpwstr>
  </property>
</Properties>
</file>