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F2C54" w14:textId="77777777" w:rsidR="00955147" w:rsidRDefault="00955147" w:rsidP="00955147">
      <w:pPr>
        <w:pStyle w:val="BodyText"/>
        <w:spacing w:before="82"/>
        <w:ind w:left="7110" w:right="288"/>
        <w:jc w:val="center"/>
      </w:pPr>
      <w:r>
        <w:t>Appendix</w:t>
      </w:r>
      <w:r>
        <w:rPr>
          <w:spacing w:val="-5"/>
        </w:rPr>
        <w:t xml:space="preserve"> </w:t>
      </w:r>
      <w:r>
        <w:rPr>
          <w:spacing w:val="-10"/>
        </w:rPr>
        <w:t>2</w:t>
      </w:r>
    </w:p>
    <w:p w14:paraId="22E46803" w14:textId="77777777" w:rsidR="00955147" w:rsidRDefault="00955147" w:rsidP="00955147">
      <w:pPr>
        <w:spacing w:before="181" w:line="376" w:lineRule="auto"/>
        <w:ind w:left="2620" w:right="2818"/>
        <w:jc w:val="center"/>
        <w:rPr>
          <w:b/>
          <w:sz w:val="28"/>
        </w:rPr>
      </w:pPr>
      <w:r>
        <w:rPr>
          <w:b/>
          <w:sz w:val="28"/>
        </w:rPr>
        <w:t>Licensing</w:t>
      </w:r>
      <w:r>
        <w:rPr>
          <w:b/>
          <w:spacing w:val="-11"/>
          <w:sz w:val="28"/>
        </w:rPr>
        <w:t xml:space="preserve"> </w:t>
      </w:r>
      <w:r>
        <w:rPr>
          <w:b/>
          <w:sz w:val="28"/>
        </w:rPr>
        <w:t>(Scotland)</w:t>
      </w:r>
      <w:r>
        <w:rPr>
          <w:b/>
          <w:spacing w:val="-10"/>
          <w:sz w:val="28"/>
        </w:rPr>
        <w:t xml:space="preserve"> </w:t>
      </w:r>
      <w:r>
        <w:rPr>
          <w:b/>
          <w:sz w:val="28"/>
        </w:rPr>
        <w:t>Act</w:t>
      </w:r>
      <w:r>
        <w:rPr>
          <w:b/>
          <w:spacing w:val="-12"/>
          <w:sz w:val="28"/>
        </w:rPr>
        <w:t xml:space="preserve"> </w:t>
      </w:r>
      <w:r>
        <w:rPr>
          <w:b/>
          <w:sz w:val="28"/>
        </w:rPr>
        <w:t>2005 Falkirk Licensing Board</w:t>
      </w:r>
    </w:p>
    <w:p w14:paraId="2F76F83C" w14:textId="77777777" w:rsidR="00955147" w:rsidRDefault="00955147" w:rsidP="00955147">
      <w:pPr>
        <w:spacing w:before="4"/>
        <w:ind w:left="1303" w:right="1504"/>
        <w:jc w:val="center"/>
        <w:rPr>
          <w:b/>
          <w:sz w:val="28"/>
        </w:rPr>
      </w:pPr>
      <w:r>
        <w:rPr>
          <w:b/>
          <w:sz w:val="28"/>
        </w:rPr>
        <w:t>Statement</w:t>
      </w:r>
      <w:r>
        <w:rPr>
          <w:b/>
          <w:spacing w:val="-8"/>
          <w:sz w:val="28"/>
        </w:rPr>
        <w:t xml:space="preserve"> </w:t>
      </w:r>
      <w:r>
        <w:rPr>
          <w:b/>
          <w:sz w:val="28"/>
        </w:rPr>
        <w:t>of</w:t>
      </w:r>
      <w:r>
        <w:rPr>
          <w:b/>
          <w:spacing w:val="-9"/>
          <w:sz w:val="28"/>
        </w:rPr>
        <w:t xml:space="preserve"> </w:t>
      </w:r>
      <w:r>
        <w:rPr>
          <w:b/>
          <w:sz w:val="28"/>
        </w:rPr>
        <w:t>Income</w:t>
      </w:r>
      <w:r>
        <w:rPr>
          <w:b/>
          <w:spacing w:val="-4"/>
          <w:sz w:val="28"/>
        </w:rPr>
        <w:t xml:space="preserve"> </w:t>
      </w:r>
      <w:r>
        <w:rPr>
          <w:b/>
          <w:sz w:val="28"/>
        </w:rPr>
        <w:t>and</w:t>
      </w:r>
      <w:r>
        <w:rPr>
          <w:b/>
          <w:spacing w:val="-3"/>
          <w:sz w:val="28"/>
        </w:rPr>
        <w:t xml:space="preserve"> </w:t>
      </w:r>
      <w:r>
        <w:rPr>
          <w:b/>
          <w:sz w:val="28"/>
        </w:rPr>
        <w:t>Expenditure</w:t>
      </w:r>
      <w:r>
        <w:rPr>
          <w:b/>
          <w:spacing w:val="-3"/>
          <w:sz w:val="28"/>
        </w:rPr>
        <w:t xml:space="preserve"> </w:t>
      </w:r>
      <w:r w:rsidRPr="00711A7E">
        <w:rPr>
          <w:b/>
          <w:spacing w:val="-2"/>
          <w:sz w:val="28"/>
        </w:rPr>
        <w:t>202</w:t>
      </w:r>
      <w:r>
        <w:rPr>
          <w:b/>
          <w:spacing w:val="-2"/>
          <w:sz w:val="28"/>
        </w:rPr>
        <w:t>4</w:t>
      </w:r>
      <w:r w:rsidRPr="00711A7E">
        <w:rPr>
          <w:b/>
          <w:spacing w:val="-2"/>
          <w:sz w:val="28"/>
        </w:rPr>
        <w:t>/2</w:t>
      </w:r>
      <w:r>
        <w:rPr>
          <w:b/>
          <w:spacing w:val="-2"/>
          <w:sz w:val="28"/>
        </w:rPr>
        <w:t>5</w:t>
      </w:r>
    </w:p>
    <w:p w14:paraId="021DD1AB" w14:textId="77777777" w:rsidR="00955147" w:rsidRDefault="00955147" w:rsidP="00955147">
      <w:pPr>
        <w:pStyle w:val="BodyText"/>
        <w:rPr>
          <w:b/>
          <w:sz w:val="20"/>
        </w:rPr>
      </w:pPr>
    </w:p>
    <w:p w14:paraId="4D01459E" w14:textId="77777777" w:rsidR="00955147" w:rsidRDefault="00955147" w:rsidP="00955147">
      <w:pPr>
        <w:pStyle w:val="BodyText"/>
        <w:spacing w:before="4"/>
        <w:rPr>
          <w:b/>
          <w:sz w:val="27"/>
        </w:rPr>
      </w:pPr>
    </w:p>
    <w:p w14:paraId="44D89697" w14:textId="77777777" w:rsidR="00955147" w:rsidRDefault="00955147" w:rsidP="00955147">
      <w:pPr>
        <w:pStyle w:val="BodyText"/>
        <w:spacing w:line="259" w:lineRule="auto"/>
        <w:ind w:left="100" w:right="319"/>
      </w:pPr>
      <w:r>
        <w:t>The</w:t>
      </w:r>
      <w:r>
        <w:rPr>
          <w:spacing w:val="-2"/>
        </w:rPr>
        <w:t xml:space="preserve"> </w:t>
      </w:r>
      <w:r>
        <w:t>Falkirk</w:t>
      </w:r>
      <w:r>
        <w:rPr>
          <w:spacing w:val="-3"/>
        </w:rPr>
        <w:t xml:space="preserve"> </w:t>
      </w:r>
      <w:r>
        <w:t>Licensing</w:t>
      </w:r>
      <w:r>
        <w:rPr>
          <w:spacing w:val="-4"/>
        </w:rPr>
        <w:t xml:space="preserve"> </w:t>
      </w:r>
      <w:r>
        <w:t>Board</w:t>
      </w:r>
      <w:r>
        <w:rPr>
          <w:spacing w:val="-2"/>
        </w:rPr>
        <w:t xml:space="preserve"> </w:t>
      </w:r>
      <w:r>
        <w:t>is</w:t>
      </w:r>
      <w:r>
        <w:rPr>
          <w:spacing w:val="-3"/>
        </w:rPr>
        <w:t xml:space="preserve"> </w:t>
      </w:r>
      <w:r>
        <w:t>required</w:t>
      </w:r>
      <w:r>
        <w:rPr>
          <w:spacing w:val="-4"/>
        </w:rPr>
        <w:t xml:space="preserve"> </w:t>
      </w:r>
      <w:r>
        <w:t>under</w:t>
      </w:r>
      <w:r>
        <w:rPr>
          <w:spacing w:val="-4"/>
        </w:rPr>
        <w:t xml:space="preserve"> </w:t>
      </w:r>
      <w:r>
        <w:t>section</w:t>
      </w:r>
      <w:r>
        <w:rPr>
          <w:spacing w:val="-4"/>
        </w:rPr>
        <w:t xml:space="preserve"> </w:t>
      </w:r>
      <w:r>
        <w:t>9B</w:t>
      </w:r>
      <w:r>
        <w:rPr>
          <w:spacing w:val="-5"/>
        </w:rPr>
        <w:t xml:space="preserve"> </w:t>
      </w:r>
      <w:r>
        <w:t>of</w:t>
      </w:r>
      <w:r>
        <w:rPr>
          <w:spacing w:val="-3"/>
        </w:rPr>
        <w:t xml:space="preserve"> </w:t>
      </w:r>
      <w:r>
        <w:t>the</w:t>
      </w:r>
      <w:r>
        <w:rPr>
          <w:spacing w:val="-4"/>
        </w:rPr>
        <w:t xml:space="preserve"> </w:t>
      </w:r>
      <w:r>
        <w:t>Licensing</w:t>
      </w:r>
      <w:r>
        <w:rPr>
          <w:spacing w:val="-2"/>
        </w:rPr>
        <w:t xml:space="preserve"> </w:t>
      </w:r>
      <w:r>
        <w:t>(Scotland) Act 2005 to publish an annual financial report within three months of the end of the relevant financial year.</w:t>
      </w:r>
    </w:p>
    <w:p w14:paraId="441607AE" w14:textId="77777777" w:rsidR="00955147" w:rsidRDefault="00955147" w:rsidP="00955147">
      <w:pPr>
        <w:pStyle w:val="BodyText"/>
        <w:spacing w:line="259" w:lineRule="auto"/>
        <w:ind w:left="100" w:right="319"/>
      </w:pPr>
    </w:p>
    <w:p w14:paraId="1C317C79" w14:textId="4B85AFF9" w:rsidR="00955147" w:rsidRPr="00177D46" w:rsidRDefault="00955147" w:rsidP="00955147">
      <w:pPr>
        <w:pStyle w:val="BodyText"/>
        <w:spacing w:line="259" w:lineRule="auto"/>
        <w:ind w:left="100" w:right="319"/>
      </w:pPr>
      <w:r w:rsidRPr="00177D46">
        <w:t xml:space="preserve">This report has been prepared using financial data taken on </w:t>
      </w:r>
      <w:r w:rsidR="00177D46" w:rsidRPr="00177D46">
        <w:t>21 May 2025</w:t>
      </w:r>
      <w:r w:rsidRPr="00177D46">
        <w:t>.</w:t>
      </w:r>
      <w:r w:rsidRPr="00177D46">
        <w:rPr>
          <w:spacing w:val="40"/>
        </w:rPr>
        <w:t xml:space="preserve"> </w:t>
      </w:r>
      <w:r w:rsidRPr="00177D46">
        <w:t>The relevant</w:t>
      </w:r>
      <w:r w:rsidRPr="00177D46">
        <w:rPr>
          <w:spacing w:val="-4"/>
        </w:rPr>
        <w:t xml:space="preserve"> </w:t>
      </w:r>
      <w:r w:rsidRPr="00177D46">
        <w:t>budgets</w:t>
      </w:r>
      <w:r w:rsidRPr="00177D46">
        <w:rPr>
          <w:spacing w:val="-2"/>
        </w:rPr>
        <w:t xml:space="preserve"> </w:t>
      </w:r>
      <w:r w:rsidRPr="00177D46">
        <w:t>and</w:t>
      </w:r>
      <w:r w:rsidRPr="00177D46">
        <w:rPr>
          <w:spacing w:val="-1"/>
        </w:rPr>
        <w:t xml:space="preserve"> </w:t>
      </w:r>
      <w:r w:rsidRPr="00177D46">
        <w:t>other</w:t>
      </w:r>
      <w:r w:rsidRPr="00177D46">
        <w:rPr>
          <w:spacing w:val="-3"/>
        </w:rPr>
        <w:t xml:space="preserve"> </w:t>
      </w:r>
      <w:r w:rsidRPr="00177D46">
        <w:t>finance</w:t>
      </w:r>
      <w:r w:rsidRPr="00177D46">
        <w:rPr>
          <w:spacing w:val="-3"/>
        </w:rPr>
        <w:t xml:space="preserve"> </w:t>
      </w:r>
      <w:r w:rsidRPr="00177D46">
        <w:t>sources</w:t>
      </w:r>
      <w:r w:rsidRPr="00177D46">
        <w:rPr>
          <w:spacing w:val="-4"/>
        </w:rPr>
        <w:t xml:space="preserve"> </w:t>
      </w:r>
      <w:r w:rsidRPr="00177D46">
        <w:t>that</w:t>
      </w:r>
      <w:r w:rsidRPr="00177D46">
        <w:rPr>
          <w:spacing w:val="-2"/>
        </w:rPr>
        <w:t xml:space="preserve"> </w:t>
      </w:r>
      <w:r w:rsidRPr="00177D46">
        <w:t>the</w:t>
      </w:r>
      <w:r w:rsidRPr="00177D46">
        <w:rPr>
          <w:spacing w:val="-1"/>
        </w:rPr>
        <w:t xml:space="preserve"> </w:t>
      </w:r>
      <w:r w:rsidRPr="00177D46">
        <w:t>data</w:t>
      </w:r>
      <w:r w:rsidRPr="00177D46">
        <w:rPr>
          <w:spacing w:val="-3"/>
        </w:rPr>
        <w:t xml:space="preserve"> </w:t>
      </w:r>
      <w:r w:rsidRPr="00177D46">
        <w:t>has</w:t>
      </w:r>
      <w:r w:rsidRPr="00177D46">
        <w:rPr>
          <w:spacing w:val="-4"/>
        </w:rPr>
        <w:t xml:space="preserve"> </w:t>
      </w:r>
      <w:r w:rsidRPr="00177D46">
        <w:t>been</w:t>
      </w:r>
      <w:r w:rsidRPr="00177D46">
        <w:rPr>
          <w:spacing w:val="-3"/>
        </w:rPr>
        <w:t xml:space="preserve"> </w:t>
      </w:r>
      <w:r w:rsidRPr="00177D46">
        <w:t>extracted</w:t>
      </w:r>
      <w:r w:rsidRPr="00177D46">
        <w:rPr>
          <w:spacing w:val="-3"/>
        </w:rPr>
        <w:t xml:space="preserve"> </w:t>
      </w:r>
      <w:r w:rsidRPr="00177D46">
        <w:t>from have not yet been audited.</w:t>
      </w:r>
      <w:r w:rsidRPr="00177D46">
        <w:rPr>
          <w:spacing w:val="40"/>
        </w:rPr>
        <w:t xml:space="preserve"> </w:t>
      </w:r>
      <w:r w:rsidRPr="00177D46">
        <w:t>Consequently, the figures provided in this report are indicative and cannot be relied upon as an accurate reflection of income and expenditure relative to the exercise of the Licensing Board’s functions under the Licensing (Scotland) Act 2005 only.</w:t>
      </w:r>
    </w:p>
    <w:p w14:paraId="3180F4C4" w14:textId="77777777" w:rsidR="00955147" w:rsidRPr="00177D46" w:rsidRDefault="00955147" w:rsidP="00955147">
      <w:pPr>
        <w:pStyle w:val="BodyText"/>
        <w:spacing w:line="259" w:lineRule="auto"/>
        <w:ind w:left="100" w:right="319"/>
      </w:pPr>
    </w:p>
    <w:p w14:paraId="3B3ACFA1" w14:textId="77777777" w:rsidR="00955147" w:rsidRPr="00177D46" w:rsidRDefault="00955147" w:rsidP="00955147">
      <w:pPr>
        <w:pStyle w:val="BodyText"/>
        <w:ind w:left="100"/>
      </w:pPr>
      <w:r w:rsidRPr="00177D46">
        <w:t>The</w:t>
      </w:r>
      <w:r w:rsidRPr="00177D46">
        <w:rPr>
          <w:spacing w:val="-2"/>
        </w:rPr>
        <w:t xml:space="preserve"> </w:t>
      </w:r>
      <w:r w:rsidRPr="00177D46">
        <w:t>financial</w:t>
      </w:r>
      <w:r w:rsidRPr="00177D46">
        <w:rPr>
          <w:spacing w:val="-3"/>
        </w:rPr>
        <w:t xml:space="preserve"> </w:t>
      </w:r>
      <w:r w:rsidRPr="00177D46">
        <w:t>statement</w:t>
      </w:r>
      <w:r w:rsidRPr="00177D46">
        <w:rPr>
          <w:spacing w:val="-2"/>
        </w:rPr>
        <w:t xml:space="preserve"> </w:t>
      </w:r>
      <w:r w:rsidRPr="00177D46">
        <w:t>is</w:t>
      </w:r>
      <w:r w:rsidRPr="00177D46">
        <w:rPr>
          <w:spacing w:val="-3"/>
        </w:rPr>
        <w:t xml:space="preserve"> </w:t>
      </w:r>
      <w:r w:rsidRPr="00177D46">
        <w:t>as</w:t>
      </w:r>
      <w:r w:rsidRPr="00177D46">
        <w:rPr>
          <w:spacing w:val="-2"/>
        </w:rPr>
        <w:t xml:space="preserve"> follows:</w:t>
      </w:r>
    </w:p>
    <w:p w14:paraId="5A3C37D1" w14:textId="77777777" w:rsidR="00955147" w:rsidRPr="00177D46" w:rsidRDefault="00955147" w:rsidP="00955147">
      <w:pPr>
        <w:pStyle w:val="BodyText"/>
        <w:rPr>
          <w:sz w:val="20"/>
        </w:rPr>
      </w:pPr>
    </w:p>
    <w:p w14:paraId="53362F15" w14:textId="77777777" w:rsidR="00955147" w:rsidRPr="00177D46" w:rsidRDefault="00955147" w:rsidP="00955147">
      <w:pPr>
        <w:pStyle w:val="BodyText"/>
        <w:spacing w:before="6"/>
        <w:rPr>
          <w:sz w:val="15"/>
        </w:rPr>
      </w:pPr>
    </w:p>
    <w:tbl>
      <w:tblPr>
        <w:tblW w:w="0" w:type="auto"/>
        <w:tblInd w:w="107" w:type="dxa"/>
        <w:tblLayout w:type="fixed"/>
        <w:tblCellMar>
          <w:left w:w="0" w:type="dxa"/>
          <w:right w:w="0" w:type="dxa"/>
        </w:tblCellMar>
        <w:tblLook w:val="01E0" w:firstRow="1" w:lastRow="1" w:firstColumn="1" w:lastColumn="1" w:noHBand="0" w:noVBand="0"/>
      </w:tblPr>
      <w:tblGrid>
        <w:gridCol w:w="2726"/>
        <w:gridCol w:w="5797"/>
      </w:tblGrid>
      <w:tr w:rsidR="00177D46" w:rsidRPr="00177D46" w14:paraId="5627E3EF" w14:textId="77777777" w:rsidTr="004E297A">
        <w:trPr>
          <w:trHeight w:val="550"/>
        </w:trPr>
        <w:tc>
          <w:tcPr>
            <w:tcW w:w="2726" w:type="dxa"/>
            <w:tcBorders>
              <w:bottom w:val="single" w:sz="4" w:space="0" w:color="000000"/>
            </w:tcBorders>
          </w:tcPr>
          <w:p w14:paraId="60B91085" w14:textId="77777777" w:rsidR="00955147" w:rsidRPr="00177D46" w:rsidRDefault="00955147" w:rsidP="004E297A">
            <w:pPr>
              <w:pStyle w:val="TableParagraph"/>
              <w:spacing w:line="276" w:lineRule="exact"/>
              <w:ind w:left="108"/>
              <w:rPr>
                <w:b/>
                <w:sz w:val="24"/>
              </w:rPr>
            </w:pPr>
            <w:r w:rsidRPr="00177D46">
              <w:rPr>
                <w:b/>
                <w:spacing w:val="-2"/>
                <w:sz w:val="24"/>
              </w:rPr>
              <w:t>Income</w:t>
            </w:r>
            <w:r w:rsidRPr="00177D46">
              <w:rPr>
                <w:b/>
                <w:spacing w:val="-2"/>
                <w:position w:val="8"/>
                <w:sz w:val="16"/>
              </w:rPr>
              <w:t>1</w:t>
            </w:r>
            <w:r w:rsidRPr="00177D46">
              <w:rPr>
                <w:b/>
                <w:spacing w:val="-2"/>
                <w:sz w:val="24"/>
              </w:rPr>
              <w:t>:</w:t>
            </w:r>
          </w:p>
        </w:tc>
        <w:tc>
          <w:tcPr>
            <w:tcW w:w="5797" w:type="dxa"/>
            <w:tcBorders>
              <w:bottom w:val="single" w:sz="4" w:space="0" w:color="000000"/>
            </w:tcBorders>
          </w:tcPr>
          <w:p w14:paraId="36BB9AA1" w14:textId="5AF00E72" w:rsidR="00955147" w:rsidRPr="00177D46" w:rsidRDefault="00955147" w:rsidP="004E297A">
            <w:pPr>
              <w:pStyle w:val="TableParagraph"/>
              <w:spacing w:line="276" w:lineRule="exact"/>
              <w:ind w:left="324"/>
              <w:rPr>
                <w:b/>
                <w:sz w:val="24"/>
              </w:rPr>
            </w:pPr>
            <w:r w:rsidRPr="00177D46">
              <w:rPr>
                <w:b/>
                <w:spacing w:val="-2"/>
                <w:sz w:val="24"/>
              </w:rPr>
              <w:t>(£15</w:t>
            </w:r>
            <w:r w:rsidR="00177D46" w:rsidRPr="00177D46">
              <w:rPr>
                <w:b/>
                <w:spacing w:val="-2"/>
                <w:sz w:val="24"/>
              </w:rPr>
              <w:t>5</w:t>
            </w:r>
            <w:r w:rsidRPr="00177D46">
              <w:rPr>
                <w:b/>
                <w:spacing w:val="-2"/>
                <w:sz w:val="24"/>
              </w:rPr>
              <w:t>,</w:t>
            </w:r>
            <w:r w:rsidR="00177D46" w:rsidRPr="00177D46">
              <w:rPr>
                <w:b/>
                <w:spacing w:val="-2"/>
                <w:sz w:val="24"/>
              </w:rPr>
              <w:t>382</w:t>
            </w:r>
            <w:r w:rsidRPr="00177D46">
              <w:rPr>
                <w:b/>
                <w:spacing w:val="-2"/>
                <w:sz w:val="24"/>
              </w:rPr>
              <w:t>)</w:t>
            </w:r>
          </w:p>
        </w:tc>
      </w:tr>
      <w:tr w:rsidR="00177D46" w:rsidRPr="00177D46" w14:paraId="7D6F6287" w14:textId="77777777" w:rsidTr="004E297A">
        <w:trPr>
          <w:trHeight w:val="552"/>
        </w:trPr>
        <w:tc>
          <w:tcPr>
            <w:tcW w:w="2726" w:type="dxa"/>
            <w:tcBorders>
              <w:top w:val="single" w:sz="4" w:space="0" w:color="000000"/>
            </w:tcBorders>
          </w:tcPr>
          <w:p w14:paraId="536032AC" w14:textId="77777777" w:rsidR="00955147" w:rsidRPr="00177D46" w:rsidRDefault="00955147" w:rsidP="004E297A">
            <w:pPr>
              <w:pStyle w:val="TableParagraph"/>
              <w:spacing w:line="276" w:lineRule="exact"/>
              <w:ind w:left="108"/>
              <w:rPr>
                <w:b/>
                <w:sz w:val="24"/>
              </w:rPr>
            </w:pPr>
            <w:r w:rsidRPr="00177D46">
              <w:rPr>
                <w:b/>
                <w:sz w:val="24"/>
              </w:rPr>
              <w:t>Direct</w:t>
            </w:r>
            <w:r w:rsidRPr="00177D46">
              <w:rPr>
                <w:b/>
                <w:spacing w:val="-3"/>
                <w:sz w:val="24"/>
              </w:rPr>
              <w:t xml:space="preserve"> </w:t>
            </w:r>
            <w:r w:rsidRPr="00177D46">
              <w:rPr>
                <w:b/>
                <w:sz w:val="24"/>
              </w:rPr>
              <w:t>Staff</w:t>
            </w:r>
            <w:r w:rsidRPr="00177D46">
              <w:rPr>
                <w:b/>
                <w:spacing w:val="-2"/>
                <w:sz w:val="24"/>
              </w:rPr>
              <w:t xml:space="preserve"> Costs</w:t>
            </w:r>
            <w:r w:rsidRPr="00177D46">
              <w:rPr>
                <w:b/>
                <w:spacing w:val="-2"/>
                <w:position w:val="8"/>
                <w:sz w:val="16"/>
              </w:rPr>
              <w:t>2</w:t>
            </w:r>
            <w:r w:rsidRPr="00177D46">
              <w:rPr>
                <w:b/>
                <w:spacing w:val="-2"/>
                <w:sz w:val="24"/>
              </w:rPr>
              <w:t>:</w:t>
            </w:r>
          </w:p>
        </w:tc>
        <w:tc>
          <w:tcPr>
            <w:tcW w:w="5797" w:type="dxa"/>
            <w:tcBorders>
              <w:top w:val="single" w:sz="4" w:space="0" w:color="000000"/>
            </w:tcBorders>
          </w:tcPr>
          <w:p w14:paraId="2C84CB13" w14:textId="48A635D7" w:rsidR="00955147" w:rsidRPr="00177D46" w:rsidRDefault="00955147" w:rsidP="004E297A">
            <w:pPr>
              <w:pStyle w:val="TableParagraph"/>
              <w:ind w:left="324"/>
              <w:rPr>
                <w:b/>
                <w:sz w:val="24"/>
              </w:rPr>
            </w:pPr>
            <w:r w:rsidRPr="00177D46">
              <w:rPr>
                <w:b/>
                <w:spacing w:val="-2"/>
                <w:sz w:val="24"/>
              </w:rPr>
              <w:t>£1</w:t>
            </w:r>
            <w:r w:rsidR="00177D46" w:rsidRPr="00177D46">
              <w:rPr>
                <w:b/>
                <w:spacing w:val="-2"/>
                <w:sz w:val="24"/>
              </w:rPr>
              <w:t>78</w:t>
            </w:r>
            <w:r w:rsidRPr="00177D46">
              <w:rPr>
                <w:b/>
                <w:spacing w:val="-2"/>
                <w:sz w:val="24"/>
              </w:rPr>
              <w:t>,</w:t>
            </w:r>
            <w:r w:rsidR="00177D46" w:rsidRPr="00177D46">
              <w:rPr>
                <w:b/>
                <w:spacing w:val="-2"/>
                <w:sz w:val="24"/>
              </w:rPr>
              <w:t>883</w:t>
            </w:r>
          </w:p>
        </w:tc>
      </w:tr>
      <w:tr w:rsidR="00177D46" w:rsidRPr="00177D46" w14:paraId="7C690C18" w14:textId="77777777" w:rsidTr="004E297A">
        <w:trPr>
          <w:trHeight w:val="551"/>
        </w:trPr>
        <w:tc>
          <w:tcPr>
            <w:tcW w:w="2726" w:type="dxa"/>
          </w:tcPr>
          <w:p w14:paraId="3523D1F3" w14:textId="77777777" w:rsidR="00955147" w:rsidRPr="00177D46" w:rsidRDefault="00955147" w:rsidP="004E297A">
            <w:pPr>
              <w:pStyle w:val="TableParagraph"/>
              <w:spacing w:before="6"/>
              <w:rPr>
                <w:sz w:val="23"/>
              </w:rPr>
            </w:pPr>
          </w:p>
          <w:p w14:paraId="3A3A2953" w14:textId="77777777" w:rsidR="00955147" w:rsidRPr="00177D46" w:rsidRDefault="00955147" w:rsidP="004E297A">
            <w:pPr>
              <w:pStyle w:val="TableParagraph"/>
              <w:spacing w:line="261" w:lineRule="exact"/>
              <w:ind w:left="108"/>
              <w:rPr>
                <w:b/>
                <w:sz w:val="24"/>
              </w:rPr>
            </w:pPr>
            <w:r w:rsidRPr="00177D46">
              <w:rPr>
                <w:b/>
                <w:sz w:val="24"/>
              </w:rPr>
              <w:t>Other</w:t>
            </w:r>
            <w:r w:rsidRPr="00177D46">
              <w:rPr>
                <w:b/>
                <w:spacing w:val="-2"/>
                <w:sz w:val="24"/>
              </w:rPr>
              <w:t xml:space="preserve"> </w:t>
            </w:r>
            <w:r w:rsidRPr="00177D46">
              <w:rPr>
                <w:b/>
                <w:sz w:val="24"/>
              </w:rPr>
              <w:t>Direct</w:t>
            </w:r>
            <w:r w:rsidRPr="00177D46">
              <w:rPr>
                <w:b/>
                <w:spacing w:val="-2"/>
                <w:sz w:val="24"/>
              </w:rPr>
              <w:t xml:space="preserve"> Costs</w:t>
            </w:r>
            <w:r w:rsidRPr="00177D46">
              <w:rPr>
                <w:b/>
                <w:spacing w:val="-2"/>
                <w:position w:val="8"/>
                <w:sz w:val="16"/>
              </w:rPr>
              <w:t>3</w:t>
            </w:r>
            <w:r w:rsidRPr="00177D46">
              <w:rPr>
                <w:b/>
                <w:spacing w:val="-2"/>
                <w:sz w:val="24"/>
              </w:rPr>
              <w:t>:</w:t>
            </w:r>
          </w:p>
        </w:tc>
        <w:tc>
          <w:tcPr>
            <w:tcW w:w="5797" w:type="dxa"/>
          </w:tcPr>
          <w:p w14:paraId="64502B05" w14:textId="77777777" w:rsidR="00955147" w:rsidRPr="00177D46" w:rsidRDefault="00955147" w:rsidP="004E297A">
            <w:pPr>
              <w:pStyle w:val="TableParagraph"/>
              <w:spacing w:before="11"/>
              <w:rPr>
                <w:sz w:val="23"/>
              </w:rPr>
            </w:pPr>
          </w:p>
          <w:p w14:paraId="728F3ECC" w14:textId="1380590A" w:rsidR="00955147" w:rsidRPr="00177D46" w:rsidRDefault="00955147" w:rsidP="004E297A">
            <w:pPr>
              <w:pStyle w:val="TableParagraph"/>
              <w:spacing w:line="256" w:lineRule="exact"/>
              <w:ind w:left="324"/>
              <w:rPr>
                <w:b/>
                <w:sz w:val="24"/>
              </w:rPr>
            </w:pPr>
            <w:r w:rsidRPr="00177D46">
              <w:rPr>
                <w:b/>
                <w:spacing w:val="-2"/>
                <w:sz w:val="24"/>
              </w:rPr>
              <w:t>£1</w:t>
            </w:r>
            <w:r w:rsidR="00177D46" w:rsidRPr="00177D46">
              <w:rPr>
                <w:b/>
                <w:spacing w:val="-2"/>
                <w:sz w:val="24"/>
              </w:rPr>
              <w:t>3</w:t>
            </w:r>
            <w:r w:rsidRPr="00177D46">
              <w:rPr>
                <w:b/>
                <w:spacing w:val="-2"/>
                <w:sz w:val="24"/>
              </w:rPr>
              <w:t>,</w:t>
            </w:r>
            <w:r w:rsidR="00177D46" w:rsidRPr="00177D46">
              <w:rPr>
                <w:b/>
                <w:spacing w:val="-2"/>
                <w:sz w:val="24"/>
              </w:rPr>
              <w:t>209</w:t>
            </w:r>
          </w:p>
        </w:tc>
      </w:tr>
      <w:tr w:rsidR="00177D46" w:rsidRPr="00177D46" w14:paraId="0F9503FC" w14:textId="77777777" w:rsidTr="004E297A">
        <w:trPr>
          <w:trHeight w:val="417"/>
        </w:trPr>
        <w:tc>
          <w:tcPr>
            <w:tcW w:w="2726" w:type="dxa"/>
          </w:tcPr>
          <w:p w14:paraId="6501FBD0" w14:textId="77777777" w:rsidR="00955147" w:rsidRPr="00177D46" w:rsidRDefault="00955147" w:rsidP="004E297A">
            <w:pPr>
              <w:pStyle w:val="TableParagraph"/>
              <w:spacing w:line="276" w:lineRule="exact"/>
              <w:ind w:left="108"/>
              <w:rPr>
                <w:b/>
                <w:sz w:val="24"/>
              </w:rPr>
            </w:pPr>
            <w:r w:rsidRPr="00177D46">
              <w:rPr>
                <w:b/>
                <w:sz w:val="24"/>
              </w:rPr>
              <w:t>Indirect</w:t>
            </w:r>
            <w:r w:rsidRPr="00177D46">
              <w:rPr>
                <w:b/>
                <w:spacing w:val="-3"/>
                <w:sz w:val="24"/>
              </w:rPr>
              <w:t xml:space="preserve"> </w:t>
            </w:r>
            <w:r w:rsidRPr="00177D46">
              <w:rPr>
                <w:b/>
                <w:spacing w:val="-2"/>
                <w:sz w:val="24"/>
              </w:rPr>
              <w:t>Costs</w:t>
            </w:r>
            <w:r w:rsidRPr="00177D46">
              <w:rPr>
                <w:b/>
                <w:spacing w:val="-2"/>
                <w:position w:val="8"/>
                <w:sz w:val="16"/>
              </w:rPr>
              <w:t>4</w:t>
            </w:r>
            <w:r w:rsidRPr="00177D46">
              <w:rPr>
                <w:b/>
                <w:spacing w:val="-2"/>
                <w:sz w:val="24"/>
              </w:rPr>
              <w:t>:</w:t>
            </w:r>
          </w:p>
        </w:tc>
        <w:tc>
          <w:tcPr>
            <w:tcW w:w="5797" w:type="dxa"/>
          </w:tcPr>
          <w:p w14:paraId="18264796" w14:textId="77777777" w:rsidR="00955147" w:rsidRPr="00177D46" w:rsidRDefault="00955147" w:rsidP="004E297A">
            <w:pPr>
              <w:pStyle w:val="TableParagraph"/>
              <w:ind w:left="324"/>
              <w:rPr>
                <w:b/>
                <w:sz w:val="24"/>
              </w:rPr>
            </w:pPr>
            <w:r w:rsidRPr="00177D46">
              <w:rPr>
                <w:b/>
                <w:spacing w:val="-5"/>
                <w:sz w:val="24"/>
              </w:rPr>
              <w:t>£0</w:t>
            </w:r>
          </w:p>
        </w:tc>
      </w:tr>
      <w:tr w:rsidR="00177D46" w:rsidRPr="00177D46" w14:paraId="3FD1E640" w14:textId="77777777" w:rsidTr="004E297A">
        <w:trPr>
          <w:trHeight w:val="686"/>
        </w:trPr>
        <w:tc>
          <w:tcPr>
            <w:tcW w:w="2726" w:type="dxa"/>
          </w:tcPr>
          <w:p w14:paraId="62C6A0C1" w14:textId="77777777" w:rsidR="00955147" w:rsidRPr="00177D46" w:rsidRDefault="00955147" w:rsidP="004E297A">
            <w:pPr>
              <w:pStyle w:val="TableParagraph"/>
              <w:spacing w:before="114" w:line="270" w:lineRule="atLeast"/>
              <w:ind w:left="108"/>
              <w:rPr>
                <w:b/>
                <w:sz w:val="24"/>
              </w:rPr>
            </w:pPr>
            <w:r w:rsidRPr="00177D46">
              <w:rPr>
                <w:b/>
                <w:sz w:val="24"/>
              </w:rPr>
              <w:t>Net</w:t>
            </w:r>
            <w:r w:rsidRPr="00177D46">
              <w:rPr>
                <w:b/>
                <w:spacing w:val="-17"/>
                <w:sz w:val="24"/>
              </w:rPr>
              <w:t xml:space="preserve"> </w:t>
            </w:r>
            <w:r w:rsidRPr="00177D46">
              <w:rPr>
                <w:b/>
                <w:sz w:val="24"/>
              </w:rPr>
              <w:t>Income</w:t>
            </w:r>
            <w:r w:rsidRPr="00177D46">
              <w:rPr>
                <w:b/>
                <w:spacing w:val="-17"/>
                <w:sz w:val="24"/>
              </w:rPr>
              <w:t xml:space="preserve"> </w:t>
            </w:r>
            <w:r w:rsidRPr="00177D46">
              <w:rPr>
                <w:b/>
                <w:sz w:val="24"/>
              </w:rPr>
              <w:t xml:space="preserve">– </w:t>
            </w:r>
            <w:r w:rsidRPr="00177D46">
              <w:rPr>
                <w:b/>
                <w:spacing w:val="-2"/>
                <w:sz w:val="24"/>
              </w:rPr>
              <w:t>Expenditure</w:t>
            </w:r>
          </w:p>
        </w:tc>
        <w:tc>
          <w:tcPr>
            <w:tcW w:w="5797" w:type="dxa"/>
          </w:tcPr>
          <w:p w14:paraId="7911ED84" w14:textId="4C8C0805" w:rsidR="00955147" w:rsidRPr="00177D46" w:rsidRDefault="00955147" w:rsidP="004E297A">
            <w:pPr>
              <w:pStyle w:val="TableParagraph"/>
              <w:spacing w:before="134"/>
              <w:ind w:left="324"/>
              <w:rPr>
                <w:b/>
                <w:sz w:val="24"/>
              </w:rPr>
            </w:pPr>
            <w:r w:rsidRPr="00177D46">
              <w:rPr>
                <w:b/>
                <w:spacing w:val="-2"/>
                <w:sz w:val="24"/>
              </w:rPr>
              <w:t>£3</w:t>
            </w:r>
            <w:r w:rsidR="00177D46" w:rsidRPr="00177D46">
              <w:rPr>
                <w:b/>
                <w:spacing w:val="-2"/>
                <w:sz w:val="24"/>
              </w:rPr>
              <w:t>6</w:t>
            </w:r>
            <w:r w:rsidRPr="00177D46">
              <w:rPr>
                <w:b/>
                <w:spacing w:val="-2"/>
                <w:sz w:val="24"/>
              </w:rPr>
              <w:t>,</w:t>
            </w:r>
            <w:r w:rsidR="00177D46" w:rsidRPr="00177D46">
              <w:rPr>
                <w:b/>
                <w:spacing w:val="-2"/>
                <w:sz w:val="24"/>
              </w:rPr>
              <w:t>660</w:t>
            </w:r>
          </w:p>
        </w:tc>
      </w:tr>
    </w:tbl>
    <w:p w14:paraId="727B047B" w14:textId="77777777" w:rsidR="00955147" w:rsidRDefault="00955147" w:rsidP="00955147">
      <w:pPr>
        <w:pStyle w:val="BodyText"/>
        <w:rPr>
          <w:sz w:val="20"/>
        </w:rPr>
      </w:pPr>
    </w:p>
    <w:p w14:paraId="7467DDB7" w14:textId="77777777" w:rsidR="00955147" w:rsidRPr="00177D46" w:rsidRDefault="00955147" w:rsidP="00955147">
      <w:pPr>
        <w:spacing w:before="92"/>
        <w:ind w:left="100"/>
        <w:rPr>
          <w:b/>
          <w:spacing w:val="-2"/>
          <w:sz w:val="24"/>
        </w:rPr>
      </w:pPr>
      <w:r w:rsidRPr="00E4753A">
        <w:rPr>
          <w:b/>
          <w:spacing w:val="-2"/>
          <w:sz w:val="24"/>
        </w:rPr>
        <w:t>Notes:</w:t>
      </w:r>
    </w:p>
    <w:p w14:paraId="4FB19936" w14:textId="77777777" w:rsidR="00955147" w:rsidRPr="00177D46" w:rsidRDefault="00955147" w:rsidP="00955147">
      <w:pPr>
        <w:spacing w:before="92"/>
        <w:ind w:left="100"/>
        <w:rPr>
          <w:b/>
          <w:sz w:val="24"/>
        </w:rPr>
      </w:pPr>
    </w:p>
    <w:p w14:paraId="6B4F7D76" w14:textId="1CFEBF5F" w:rsidR="00955147" w:rsidRPr="00177D46" w:rsidRDefault="00955147" w:rsidP="00955147">
      <w:pPr>
        <w:pStyle w:val="ListParagraph"/>
        <w:numPr>
          <w:ilvl w:val="0"/>
          <w:numId w:val="1"/>
        </w:numPr>
        <w:spacing w:line="256" w:lineRule="auto"/>
        <w:ind w:left="450" w:right="610"/>
        <w:contextualSpacing w:val="0"/>
        <w:rPr>
          <w:sz w:val="24"/>
        </w:rPr>
      </w:pPr>
      <w:r w:rsidRPr="00177D46">
        <w:rPr>
          <w:sz w:val="24"/>
        </w:rPr>
        <w:t>Denotes income from applications and annual fees received under the Licensing</w:t>
      </w:r>
      <w:r w:rsidRPr="00177D46">
        <w:rPr>
          <w:spacing w:val="-4"/>
          <w:sz w:val="24"/>
        </w:rPr>
        <w:t xml:space="preserve"> </w:t>
      </w:r>
      <w:r w:rsidRPr="00177D46">
        <w:rPr>
          <w:sz w:val="24"/>
        </w:rPr>
        <w:t>(Scotland)</w:t>
      </w:r>
      <w:r w:rsidRPr="00177D46">
        <w:rPr>
          <w:spacing w:val="-4"/>
          <w:sz w:val="24"/>
        </w:rPr>
        <w:t xml:space="preserve"> </w:t>
      </w:r>
      <w:r w:rsidRPr="00177D46">
        <w:rPr>
          <w:sz w:val="24"/>
        </w:rPr>
        <w:t>Act</w:t>
      </w:r>
      <w:r w:rsidRPr="00177D46">
        <w:rPr>
          <w:spacing w:val="-2"/>
          <w:sz w:val="24"/>
        </w:rPr>
        <w:t xml:space="preserve"> </w:t>
      </w:r>
      <w:r w:rsidRPr="00177D46">
        <w:rPr>
          <w:sz w:val="24"/>
        </w:rPr>
        <w:t>2005.</w:t>
      </w:r>
      <w:r w:rsidRPr="00177D46">
        <w:rPr>
          <w:spacing w:val="40"/>
          <w:sz w:val="24"/>
        </w:rPr>
        <w:t xml:space="preserve"> </w:t>
      </w:r>
      <w:r w:rsidRPr="00177D46">
        <w:rPr>
          <w:sz w:val="24"/>
        </w:rPr>
        <w:t>There</w:t>
      </w:r>
      <w:r w:rsidRPr="00177D46">
        <w:rPr>
          <w:spacing w:val="-4"/>
          <w:sz w:val="24"/>
        </w:rPr>
        <w:t xml:space="preserve"> </w:t>
      </w:r>
      <w:r w:rsidRPr="00177D46">
        <w:rPr>
          <w:sz w:val="24"/>
        </w:rPr>
        <w:t>was</w:t>
      </w:r>
      <w:r w:rsidRPr="00177D46">
        <w:rPr>
          <w:spacing w:val="-3"/>
          <w:sz w:val="24"/>
        </w:rPr>
        <w:t xml:space="preserve"> </w:t>
      </w:r>
      <w:r w:rsidRPr="00177D46">
        <w:rPr>
          <w:sz w:val="24"/>
        </w:rPr>
        <w:t>a</w:t>
      </w:r>
      <w:r w:rsidR="00177D46" w:rsidRPr="00177D46">
        <w:rPr>
          <w:sz w:val="24"/>
        </w:rPr>
        <w:t>n increase</w:t>
      </w:r>
      <w:r w:rsidRPr="00177D46">
        <w:rPr>
          <w:spacing w:val="-2"/>
          <w:sz w:val="24"/>
        </w:rPr>
        <w:t xml:space="preserve"> </w:t>
      </w:r>
      <w:r w:rsidRPr="00177D46">
        <w:rPr>
          <w:sz w:val="24"/>
        </w:rPr>
        <w:t>in</w:t>
      </w:r>
      <w:r w:rsidRPr="00177D46">
        <w:rPr>
          <w:spacing w:val="-2"/>
          <w:sz w:val="24"/>
        </w:rPr>
        <w:t xml:space="preserve"> </w:t>
      </w:r>
      <w:r w:rsidRPr="00177D46">
        <w:rPr>
          <w:sz w:val="24"/>
        </w:rPr>
        <w:t>income</w:t>
      </w:r>
      <w:r w:rsidRPr="00177D46">
        <w:rPr>
          <w:spacing w:val="-2"/>
          <w:sz w:val="24"/>
        </w:rPr>
        <w:t xml:space="preserve"> </w:t>
      </w:r>
      <w:r w:rsidRPr="00177D46">
        <w:rPr>
          <w:sz w:val="24"/>
        </w:rPr>
        <w:t>of</w:t>
      </w:r>
      <w:r w:rsidRPr="00177D46">
        <w:rPr>
          <w:spacing w:val="-5"/>
          <w:sz w:val="24"/>
        </w:rPr>
        <w:t xml:space="preserve"> </w:t>
      </w:r>
      <w:r w:rsidRPr="00177D46">
        <w:rPr>
          <w:sz w:val="24"/>
        </w:rPr>
        <w:t>£6</w:t>
      </w:r>
      <w:r w:rsidR="00177D46" w:rsidRPr="00177D46">
        <w:rPr>
          <w:sz w:val="24"/>
        </w:rPr>
        <w:t>33</w:t>
      </w:r>
      <w:r w:rsidRPr="00177D46">
        <w:rPr>
          <w:sz w:val="24"/>
        </w:rPr>
        <w:t xml:space="preserve"> from 202</w:t>
      </w:r>
      <w:r w:rsidR="00177D46" w:rsidRPr="00177D46">
        <w:rPr>
          <w:sz w:val="24"/>
        </w:rPr>
        <w:t>3</w:t>
      </w:r>
      <w:r w:rsidRPr="00177D46">
        <w:rPr>
          <w:sz w:val="24"/>
        </w:rPr>
        <w:t>/2</w:t>
      </w:r>
      <w:r w:rsidR="00177D46" w:rsidRPr="00177D46">
        <w:rPr>
          <w:sz w:val="24"/>
        </w:rPr>
        <w:t>4</w:t>
      </w:r>
      <w:r w:rsidRPr="00177D46">
        <w:rPr>
          <w:sz w:val="24"/>
        </w:rPr>
        <w:t>.</w:t>
      </w:r>
    </w:p>
    <w:p w14:paraId="638D17B1" w14:textId="77777777" w:rsidR="00955147" w:rsidRPr="00AE1B63" w:rsidRDefault="00955147" w:rsidP="00955147">
      <w:pPr>
        <w:pStyle w:val="BodyText"/>
        <w:ind w:left="450"/>
        <w:rPr>
          <w:sz w:val="25"/>
        </w:rPr>
      </w:pPr>
    </w:p>
    <w:p w14:paraId="36D2DD02" w14:textId="77777777" w:rsidR="00955147" w:rsidRPr="00AE1B63" w:rsidRDefault="00955147" w:rsidP="00955147">
      <w:pPr>
        <w:pStyle w:val="ListParagraph"/>
        <w:numPr>
          <w:ilvl w:val="0"/>
          <w:numId w:val="1"/>
        </w:numPr>
        <w:spacing w:line="256" w:lineRule="auto"/>
        <w:ind w:left="450" w:right="450"/>
        <w:contextualSpacing w:val="0"/>
        <w:rPr>
          <w:sz w:val="24"/>
        </w:rPr>
      </w:pPr>
      <w:r w:rsidRPr="00AE1B63">
        <w:rPr>
          <w:sz w:val="24"/>
        </w:rPr>
        <w:t>Denotes salary, superannuation, national insurance, and pension costs associated with the Clerk, Licensing Standards Officers and other Council staff</w:t>
      </w:r>
      <w:r w:rsidRPr="00AE1B63">
        <w:rPr>
          <w:spacing w:val="-2"/>
          <w:sz w:val="24"/>
        </w:rPr>
        <w:t xml:space="preserve"> </w:t>
      </w:r>
      <w:r w:rsidRPr="00AE1B63">
        <w:rPr>
          <w:sz w:val="24"/>
        </w:rPr>
        <w:t>responsible</w:t>
      </w:r>
      <w:r w:rsidRPr="00AE1B63">
        <w:rPr>
          <w:spacing w:val="-2"/>
          <w:sz w:val="24"/>
        </w:rPr>
        <w:t xml:space="preserve"> </w:t>
      </w:r>
      <w:r w:rsidRPr="00AE1B63">
        <w:rPr>
          <w:sz w:val="24"/>
        </w:rPr>
        <w:t>for</w:t>
      </w:r>
      <w:r w:rsidRPr="00AE1B63">
        <w:rPr>
          <w:spacing w:val="-4"/>
          <w:sz w:val="24"/>
        </w:rPr>
        <w:t xml:space="preserve"> </w:t>
      </w:r>
      <w:r w:rsidRPr="00AE1B63">
        <w:rPr>
          <w:sz w:val="24"/>
        </w:rPr>
        <w:t>administrative</w:t>
      </w:r>
      <w:r w:rsidRPr="00AE1B63">
        <w:rPr>
          <w:spacing w:val="-4"/>
          <w:sz w:val="24"/>
        </w:rPr>
        <w:t xml:space="preserve"> </w:t>
      </w:r>
      <w:r w:rsidRPr="00AE1B63">
        <w:rPr>
          <w:sz w:val="24"/>
        </w:rPr>
        <w:t>support</w:t>
      </w:r>
      <w:r w:rsidRPr="00AE1B63">
        <w:rPr>
          <w:spacing w:val="-5"/>
          <w:sz w:val="24"/>
        </w:rPr>
        <w:t xml:space="preserve"> </w:t>
      </w:r>
      <w:r w:rsidRPr="00AE1B63">
        <w:rPr>
          <w:sz w:val="24"/>
        </w:rPr>
        <w:t>under</w:t>
      </w:r>
      <w:r w:rsidRPr="00AE1B63">
        <w:rPr>
          <w:spacing w:val="-4"/>
          <w:sz w:val="24"/>
        </w:rPr>
        <w:t xml:space="preserve"> </w:t>
      </w:r>
      <w:r w:rsidRPr="00AE1B63">
        <w:rPr>
          <w:sz w:val="24"/>
        </w:rPr>
        <w:t>paragraph</w:t>
      </w:r>
      <w:r w:rsidRPr="00AE1B63">
        <w:rPr>
          <w:spacing w:val="-2"/>
          <w:sz w:val="24"/>
        </w:rPr>
        <w:t xml:space="preserve"> </w:t>
      </w:r>
      <w:r w:rsidRPr="00AE1B63">
        <w:rPr>
          <w:sz w:val="24"/>
        </w:rPr>
        <w:t>8</w:t>
      </w:r>
      <w:r w:rsidRPr="00AE1B63">
        <w:rPr>
          <w:spacing w:val="-4"/>
          <w:sz w:val="24"/>
        </w:rPr>
        <w:t xml:space="preserve"> </w:t>
      </w:r>
      <w:r w:rsidRPr="00AE1B63">
        <w:rPr>
          <w:sz w:val="24"/>
        </w:rPr>
        <w:t>of</w:t>
      </w:r>
      <w:r w:rsidRPr="00AE1B63">
        <w:rPr>
          <w:spacing w:val="-5"/>
          <w:sz w:val="24"/>
        </w:rPr>
        <w:t xml:space="preserve"> </w:t>
      </w:r>
      <w:r w:rsidRPr="00AE1B63">
        <w:rPr>
          <w:sz w:val="24"/>
        </w:rPr>
        <w:t>Schedule</w:t>
      </w:r>
      <w:r w:rsidRPr="00AE1B63">
        <w:rPr>
          <w:spacing w:val="-4"/>
          <w:sz w:val="24"/>
        </w:rPr>
        <w:t xml:space="preserve"> </w:t>
      </w:r>
      <w:r w:rsidRPr="00AE1B63">
        <w:rPr>
          <w:sz w:val="24"/>
        </w:rPr>
        <w:t xml:space="preserve">1 to the Licensing (Scotland) Act 2005. </w:t>
      </w:r>
    </w:p>
    <w:p w14:paraId="52756B4B" w14:textId="77777777" w:rsidR="00955147" w:rsidRPr="00AE1B63" w:rsidRDefault="00955147" w:rsidP="00955147">
      <w:pPr>
        <w:pStyle w:val="BodyText"/>
        <w:ind w:left="450"/>
        <w:rPr>
          <w:sz w:val="25"/>
        </w:rPr>
      </w:pPr>
    </w:p>
    <w:p w14:paraId="7DA206B7" w14:textId="77777777" w:rsidR="00955147" w:rsidRPr="00177D46" w:rsidRDefault="00955147" w:rsidP="00955147">
      <w:pPr>
        <w:pStyle w:val="ListParagraph"/>
        <w:numPr>
          <w:ilvl w:val="0"/>
          <w:numId w:val="1"/>
        </w:numPr>
        <w:spacing w:line="256" w:lineRule="auto"/>
        <w:ind w:left="450" w:right="411"/>
        <w:contextualSpacing w:val="0"/>
        <w:jc w:val="both"/>
        <w:rPr>
          <w:sz w:val="24"/>
          <w:szCs w:val="24"/>
        </w:rPr>
      </w:pPr>
      <w:r w:rsidRPr="00E4753A">
        <w:rPr>
          <w:sz w:val="24"/>
          <w:szCs w:val="24"/>
        </w:rPr>
        <w:t>Denotes</w:t>
      </w:r>
      <w:r w:rsidRPr="00E4753A">
        <w:rPr>
          <w:spacing w:val="-3"/>
          <w:sz w:val="24"/>
          <w:szCs w:val="24"/>
        </w:rPr>
        <w:t xml:space="preserve"> </w:t>
      </w:r>
      <w:r w:rsidRPr="00E4753A">
        <w:rPr>
          <w:sz w:val="24"/>
          <w:szCs w:val="24"/>
        </w:rPr>
        <w:t>direct</w:t>
      </w:r>
      <w:r w:rsidRPr="00E4753A">
        <w:rPr>
          <w:spacing w:val="-5"/>
          <w:sz w:val="24"/>
          <w:szCs w:val="24"/>
        </w:rPr>
        <w:t xml:space="preserve"> </w:t>
      </w:r>
      <w:r w:rsidRPr="00E4753A">
        <w:rPr>
          <w:sz w:val="24"/>
          <w:szCs w:val="24"/>
        </w:rPr>
        <w:t>budgetary</w:t>
      </w:r>
      <w:r w:rsidRPr="00E4753A">
        <w:rPr>
          <w:spacing w:val="-3"/>
          <w:sz w:val="24"/>
          <w:szCs w:val="24"/>
        </w:rPr>
        <w:t xml:space="preserve"> </w:t>
      </w:r>
      <w:r w:rsidRPr="00E4753A">
        <w:rPr>
          <w:sz w:val="24"/>
          <w:szCs w:val="24"/>
        </w:rPr>
        <w:t>costs</w:t>
      </w:r>
      <w:r w:rsidRPr="00E4753A">
        <w:rPr>
          <w:spacing w:val="-3"/>
          <w:sz w:val="24"/>
          <w:szCs w:val="24"/>
        </w:rPr>
        <w:t xml:space="preserve"> </w:t>
      </w:r>
      <w:r w:rsidRPr="00E4753A">
        <w:rPr>
          <w:sz w:val="24"/>
          <w:szCs w:val="24"/>
        </w:rPr>
        <w:t>associated</w:t>
      </w:r>
      <w:r w:rsidRPr="00E4753A">
        <w:rPr>
          <w:spacing w:val="-2"/>
          <w:sz w:val="24"/>
          <w:szCs w:val="24"/>
        </w:rPr>
        <w:t xml:space="preserve"> </w:t>
      </w:r>
      <w:r w:rsidRPr="00E4753A">
        <w:rPr>
          <w:sz w:val="24"/>
          <w:szCs w:val="24"/>
        </w:rPr>
        <w:t>with</w:t>
      </w:r>
      <w:r w:rsidRPr="00E4753A">
        <w:rPr>
          <w:spacing w:val="-2"/>
          <w:sz w:val="24"/>
          <w:szCs w:val="24"/>
        </w:rPr>
        <w:t xml:space="preserve"> </w:t>
      </w:r>
      <w:r w:rsidRPr="00E4753A">
        <w:rPr>
          <w:sz w:val="24"/>
          <w:szCs w:val="24"/>
        </w:rPr>
        <w:t>the</w:t>
      </w:r>
      <w:r w:rsidRPr="00E4753A">
        <w:rPr>
          <w:spacing w:val="-2"/>
          <w:sz w:val="24"/>
          <w:szCs w:val="24"/>
        </w:rPr>
        <w:t xml:space="preserve"> </w:t>
      </w:r>
      <w:r w:rsidRPr="00E4753A">
        <w:rPr>
          <w:sz w:val="24"/>
          <w:szCs w:val="24"/>
        </w:rPr>
        <w:t>exercise</w:t>
      </w:r>
      <w:r w:rsidRPr="00E4753A">
        <w:rPr>
          <w:spacing w:val="-2"/>
          <w:sz w:val="24"/>
          <w:szCs w:val="24"/>
        </w:rPr>
        <w:t xml:space="preserve"> </w:t>
      </w:r>
      <w:r w:rsidRPr="00E4753A">
        <w:rPr>
          <w:sz w:val="24"/>
          <w:szCs w:val="24"/>
        </w:rPr>
        <w:t>of</w:t>
      </w:r>
      <w:r w:rsidRPr="00E4753A">
        <w:rPr>
          <w:spacing w:val="-5"/>
          <w:sz w:val="24"/>
          <w:szCs w:val="24"/>
        </w:rPr>
        <w:t xml:space="preserve"> </w:t>
      </w:r>
      <w:r w:rsidRPr="00E4753A">
        <w:rPr>
          <w:sz w:val="24"/>
          <w:szCs w:val="24"/>
        </w:rPr>
        <w:t>the</w:t>
      </w:r>
      <w:r w:rsidRPr="00E4753A">
        <w:rPr>
          <w:spacing w:val="-7"/>
          <w:sz w:val="24"/>
          <w:szCs w:val="24"/>
        </w:rPr>
        <w:t xml:space="preserve"> </w:t>
      </w:r>
      <w:r w:rsidRPr="00E4753A">
        <w:rPr>
          <w:sz w:val="24"/>
          <w:szCs w:val="24"/>
        </w:rPr>
        <w:t xml:space="preserve">Licensing Board function in relation to supplies and services such as in-house printing </w:t>
      </w:r>
      <w:r w:rsidRPr="00E4753A">
        <w:rPr>
          <w:sz w:val="24"/>
          <w:szCs w:val="24"/>
        </w:rPr>
        <w:lastRenderedPageBreak/>
        <w:t xml:space="preserve">costs, stationery, postage, maintenance of computer systems etc. These costs have increased from the previous year due to additional </w:t>
      </w:r>
      <w:proofErr w:type="gramStart"/>
      <w:r w:rsidRPr="00E4753A">
        <w:rPr>
          <w:sz w:val="24"/>
          <w:szCs w:val="24"/>
        </w:rPr>
        <w:t>spend</w:t>
      </w:r>
      <w:proofErr w:type="gramEnd"/>
      <w:r w:rsidRPr="00E4753A">
        <w:rPr>
          <w:sz w:val="24"/>
          <w:szCs w:val="24"/>
        </w:rPr>
        <w:t xml:space="preserve"> on postage and in-house printing.</w:t>
      </w:r>
    </w:p>
    <w:p w14:paraId="4BE89EF4" w14:textId="77777777" w:rsidR="00955147" w:rsidRPr="00177D46" w:rsidRDefault="00955147" w:rsidP="00955147">
      <w:pPr>
        <w:pStyle w:val="ListParagraph"/>
        <w:rPr>
          <w:sz w:val="24"/>
          <w:szCs w:val="24"/>
        </w:rPr>
      </w:pPr>
    </w:p>
    <w:p w14:paraId="587D50EC" w14:textId="2E7E12CD" w:rsidR="00B27800" w:rsidRPr="00177D46" w:rsidRDefault="00955147" w:rsidP="00955147">
      <w:pPr>
        <w:pStyle w:val="ListParagraph"/>
        <w:numPr>
          <w:ilvl w:val="0"/>
          <w:numId w:val="1"/>
        </w:numPr>
        <w:ind w:left="450" w:hanging="450"/>
        <w:rPr>
          <w:sz w:val="24"/>
        </w:rPr>
      </w:pPr>
      <w:r w:rsidRPr="00177D46">
        <w:rPr>
          <w:sz w:val="24"/>
        </w:rPr>
        <w:t>Denotes the portion of central administrative costs such as accommodation, ICT, facility management etc. that are allocated to the Licensing Board budget.</w:t>
      </w:r>
      <w:r w:rsidRPr="00177D46">
        <w:rPr>
          <w:spacing w:val="-4"/>
          <w:sz w:val="24"/>
        </w:rPr>
        <w:t xml:space="preserve"> </w:t>
      </w:r>
      <w:r w:rsidRPr="00177D46">
        <w:rPr>
          <w:sz w:val="24"/>
        </w:rPr>
        <w:t>A</w:t>
      </w:r>
      <w:r w:rsidRPr="00177D46">
        <w:rPr>
          <w:spacing w:val="-1"/>
          <w:sz w:val="24"/>
        </w:rPr>
        <w:t xml:space="preserve"> </w:t>
      </w:r>
      <w:r w:rsidRPr="00177D46">
        <w:rPr>
          <w:sz w:val="24"/>
        </w:rPr>
        <w:t>change</w:t>
      </w:r>
      <w:r w:rsidRPr="00177D46">
        <w:rPr>
          <w:spacing w:val="-1"/>
          <w:sz w:val="24"/>
        </w:rPr>
        <w:t xml:space="preserve"> </w:t>
      </w:r>
      <w:r w:rsidRPr="00177D46">
        <w:rPr>
          <w:sz w:val="24"/>
        </w:rPr>
        <w:t>to</w:t>
      </w:r>
      <w:r w:rsidRPr="00177D46">
        <w:rPr>
          <w:spacing w:val="-1"/>
          <w:sz w:val="24"/>
        </w:rPr>
        <w:t xml:space="preserve"> </w:t>
      </w:r>
      <w:r w:rsidRPr="00177D46">
        <w:rPr>
          <w:sz w:val="24"/>
        </w:rPr>
        <w:t>the</w:t>
      </w:r>
      <w:r w:rsidRPr="00177D46">
        <w:rPr>
          <w:spacing w:val="-1"/>
          <w:sz w:val="24"/>
        </w:rPr>
        <w:t xml:space="preserve"> </w:t>
      </w:r>
      <w:r w:rsidRPr="00177D46">
        <w:rPr>
          <w:sz w:val="24"/>
        </w:rPr>
        <w:t>accounting</w:t>
      </w:r>
      <w:r w:rsidRPr="00177D46">
        <w:rPr>
          <w:spacing w:val="-1"/>
          <w:sz w:val="24"/>
        </w:rPr>
        <w:t xml:space="preserve"> </w:t>
      </w:r>
      <w:r w:rsidRPr="00177D46">
        <w:rPr>
          <w:sz w:val="24"/>
        </w:rPr>
        <w:t>procedures</w:t>
      </w:r>
      <w:r w:rsidRPr="00177D46">
        <w:rPr>
          <w:spacing w:val="-2"/>
          <w:sz w:val="24"/>
        </w:rPr>
        <w:t xml:space="preserve"> </w:t>
      </w:r>
      <w:r w:rsidRPr="00177D46">
        <w:rPr>
          <w:sz w:val="24"/>
        </w:rPr>
        <w:t>derived</w:t>
      </w:r>
      <w:r w:rsidRPr="00177D46">
        <w:rPr>
          <w:spacing w:val="-1"/>
          <w:sz w:val="24"/>
        </w:rPr>
        <w:t xml:space="preserve"> </w:t>
      </w:r>
      <w:r w:rsidRPr="00177D46">
        <w:rPr>
          <w:sz w:val="24"/>
        </w:rPr>
        <w:t>from amendments</w:t>
      </w:r>
      <w:r w:rsidRPr="00177D46">
        <w:rPr>
          <w:spacing w:val="-2"/>
          <w:sz w:val="24"/>
        </w:rPr>
        <w:t xml:space="preserve"> </w:t>
      </w:r>
      <w:r w:rsidRPr="00177D46">
        <w:rPr>
          <w:sz w:val="24"/>
        </w:rPr>
        <w:t>to the Chartered Institute of Public Finance and Accountancy (CIPFA) guidelines has been applied to the budget since 2018/19.</w:t>
      </w:r>
      <w:r w:rsidRPr="00177D46">
        <w:rPr>
          <w:spacing w:val="40"/>
          <w:sz w:val="24"/>
        </w:rPr>
        <w:t xml:space="preserve"> </w:t>
      </w:r>
      <w:r w:rsidRPr="00177D46">
        <w:rPr>
          <w:sz w:val="24"/>
        </w:rPr>
        <w:t>This means that the Central Support Recharge, which has previously been paid by the Board to</w:t>
      </w:r>
      <w:r w:rsidRPr="00177D46">
        <w:rPr>
          <w:spacing w:val="-2"/>
          <w:sz w:val="24"/>
        </w:rPr>
        <w:t xml:space="preserve"> </w:t>
      </w:r>
      <w:r w:rsidRPr="00177D46">
        <w:rPr>
          <w:sz w:val="24"/>
        </w:rPr>
        <w:t>the</w:t>
      </w:r>
      <w:r w:rsidRPr="00177D46">
        <w:rPr>
          <w:spacing w:val="-2"/>
          <w:sz w:val="24"/>
        </w:rPr>
        <w:t xml:space="preserve"> </w:t>
      </w:r>
      <w:r w:rsidRPr="00177D46">
        <w:rPr>
          <w:sz w:val="24"/>
        </w:rPr>
        <w:t>Council</w:t>
      </w:r>
      <w:r w:rsidRPr="00177D46">
        <w:rPr>
          <w:spacing w:val="-3"/>
          <w:sz w:val="24"/>
        </w:rPr>
        <w:t xml:space="preserve"> </w:t>
      </w:r>
      <w:r w:rsidRPr="00177D46">
        <w:rPr>
          <w:sz w:val="24"/>
        </w:rPr>
        <w:t>to</w:t>
      </w:r>
      <w:r w:rsidRPr="00177D46">
        <w:rPr>
          <w:spacing w:val="-4"/>
          <w:sz w:val="24"/>
        </w:rPr>
        <w:t xml:space="preserve"> </w:t>
      </w:r>
      <w:r w:rsidRPr="00177D46">
        <w:rPr>
          <w:sz w:val="24"/>
        </w:rPr>
        <w:t>cover</w:t>
      </w:r>
      <w:r w:rsidRPr="00177D46">
        <w:rPr>
          <w:spacing w:val="-6"/>
          <w:sz w:val="24"/>
        </w:rPr>
        <w:t xml:space="preserve"> </w:t>
      </w:r>
      <w:r w:rsidRPr="00177D46">
        <w:rPr>
          <w:sz w:val="24"/>
        </w:rPr>
        <w:t>the</w:t>
      </w:r>
      <w:r w:rsidRPr="00177D46">
        <w:rPr>
          <w:spacing w:val="-2"/>
          <w:sz w:val="24"/>
        </w:rPr>
        <w:t xml:space="preserve"> </w:t>
      </w:r>
      <w:r w:rsidRPr="00177D46">
        <w:rPr>
          <w:sz w:val="24"/>
        </w:rPr>
        <w:t>costs</w:t>
      </w:r>
      <w:r w:rsidRPr="00177D46">
        <w:rPr>
          <w:spacing w:val="-3"/>
          <w:sz w:val="24"/>
        </w:rPr>
        <w:t xml:space="preserve"> </w:t>
      </w:r>
      <w:r w:rsidRPr="00177D46">
        <w:rPr>
          <w:sz w:val="24"/>
        </w:rPr>
        <w:t>of</w:t>
      </w:r>
      <w:r w:rsidRPr="00177D46">
        <w:rPr>
          <w:spacing w:val="-2"/>
          <w:sz w:val="24"/>
        </w:rPr>
        <w:t xml:space="preserve"> </w:t>
      </w:r>
      <w:r w:rsidRPr="00177D46">
        <w:rPr>
          <w:sz w:val="24"/>
        </w:rPr>
        <w:t>the</w:t>
      </w:r>
      <w:r w:rsidRPr="00177D46">
        <w:rPr>
          <w:spacing w:val="-2"/>
          <w:sz w:val="24"/>
        </w:rPr>
        <w:t xml:space="preserve"> </w:t>
      </w:r>
      <w:r w:rsidRPr="00177D46">
        <w:rPr>
          <w:sz w:val="24"/>
        </w:rPr>
        <w:t>support</w:t>
      </w:r>
      <w:r w:rsidRPr="00177D46">
        <w:rPr>
          <w:spacing w:val="-2"/>
          <w:sz w:val="24"/>
        </w:rPr>
        <w:t xml:space="preserve"> </w:t>
      </w:r>
      <w:r w:rsidRPr="00177D46">
        <w:rPr>
          <w:sz w:val="24"/>
        </w:rPr>
        <w:t>services</w:t>
      </w:r>
      <w:r w:rsidRPr="00177D46">
        <w:rPr>
          <w:spacing w:val="-3"/>
          <w:sz w:val="24"/>
        </w:rPr>
        <w:t xml:space="preserve"> </w:t>
      </w:r>
      <w:r w:rsidRPr="00177D46">
        <w:rPr>
          <w:sz w:val="24"/>
        </w:rPr>
        <w:t>it</w:t>
      </w:r>
      <w:r w:rsidRPr="00177D46">
        <w:rPr>
          <w:spacing w:val="-2"/>
          <w:sz w:val="24"/>
        </w:rPr>
        <w:t xml:space="preserve"> </w:t>
      </w:r>
      <w:r w:rsidRPr="00177D46">
        <w:rPr>
          <w:sz w:val="24"/>
        </w:rPr>
        <w:t>receives,</w:t>
      </w:r>
      <w:r w:rsidRPr="00177D46">
        <w:rPr>
          <w:spacing w:val="-2"/>
          <w:sz w:val="24"/>
        </w:rPr>
        <w:t xml:space="preserve"> </w:t>
      </w:r>
      <w:r w:rsidRPr="00177D46">
        <w:rPr>
          <w:sz w:val="24"/>
        </w:rPr>
        <w:t>is</w:t>
      </w:r>
      <w:r w:rsidRPr="00177D46">
        <w:rPr>
          <w:spacing w:val="-3"/>
          <w:sz w:val="24"/>
        </w:rPr>
        <w:t xml:space="preserve"> </w:t>
      </w:r>
      <w:r w:rsidRPr="00177D46">
        <w:rPr>
          <w:sz w:val="24"/>
        </w:rPr>
        <w:t>now</w:t>
      </w:r>
      <w:r w:rsidRPr="00177D46">
        <w:rPr>
          <w:spacing w:val="-4"/>
          <w:sz w:val="24"/>
        </w:rPr>
        <w:t xml:space="preserve"> </w:t>
      </w:r>
      <w:r w:rsidRPr="00177D46">
        <w:rPr>
          <w:sz w:val="24"/>
        </w:rPr>
        <w:t>no longer</w:t>
      </w:r>
      <w:r w:rsidRPr="00177D46">
        <w:rPr>
          <w:spacing w:val="-2"/>
          <w:sz w:val="24"/>
        </w:rPr>
        <w:t xml:space="preserve"> </w:t>
      </w:r>
      <w:r w:rsidRPr="00177D46">
        <w:rPr>
          <w:sz w:val="24"/>
        </w:rPr>
        <w:t>charged to the</w:t>
      </w:r>
      <w:r w:rsidRPr="00177D46">
        <w:rPr>
          <w:spacing w:val="-2"/>
          <w:sz w:val="24"/>
        </w:rPr>
        <w:t xml:space="preserve"> </w:t>
      </w:r>
      <w:r w:rsidRPr="00177D46">
        <w:rPr>
          <w:sz w:val="24"/>
        </w:rPr>
        <w:t>Board</w:t>
      </w:r>
      <w:r w:rsidRPr="00177D46">
        <w:rPr>
          <w:spacing w:val="-2"/>
          <w:sz w:val="24"/>
        </w:rPr>
        <w:t xml:space="preserve"> </w:t>
      </w:r>
      <w:r w:rsidRPr="00177D46">
        <w:rPr>
          <w:sz w:val="24"/>
        </w:rPr>
        <w:t>– these</w:t>
      </w:r>
      <w:r w:rsidRPr="00177D46">
        <w:rPr>
          <w:spacing w:val="-2"/>
          <w:sz w:val="24"/>
        </w:rPr>
        <w:t xml:space="preserve"> </w:t>
      </w:r>
      <w:r w:rsidRPr="00177D46">
        <w:rPr>
          <w:sz w:val="24"/>
        </w:rPr>
        <w:t>costs</w:t>
      </w:r>
      <w:r w:rsidRPr="00177D46">
        <w:rPr>
          <w:spacing w:val="-3"/>
          <w:sz w:val="24"/>
        </w:rPr>
        <w:t xml:space="preserve"> </w:t>
      </w:r>
      <w:r w:rsidRPr="00177D46">
        <w:rPr>
          <w:sz w:val="24"/>
        </w:rPr>
        <w:t>are now</w:t>
      </w:r>
      <w:r w:rsidRPr="00177D46">
        <w:rPr>
          <w:spacing w:val="-4"/>
          <w:sz w:val="24"/>
        </w:rPr>
        <w:t xml:space="preserve"> </w:t>
      </w:r>
      <w:r w:rsidRPr="00177D46">
        <w:rPr>
          <w:sz w:val="24"/>
        </w:rPr>
        <w:t>being</w:t>
      </w:r>
      <w:r w:rsidRPr="00177D46">
        <w:rPr>
          <w:spacing w:val="-2"/>
          <w:sz w:val="24"/>
        </w:rPr>
        <w:t xml:space="preserve"> </w:t>
      </w:r>
      <w:r w:rsidRPr="00177D46">
        <w:rPr>
          <w:sz w:val="24"/>
        </w:rPr>
        <w:t>met</w:t>
      </w:r>
      <w:r w:rsidRPr="00177D46">
        <w:rPr>
          <w:spacing w:val="-1"/>
          <w:sz w:val="24"/>
        </w:rPr>
        <w:t xml:space="preserve"> </w:t>
      </w:r>
      <w:r w:rsidRPr="00177D46">
        <w:rPr>
          <w:sz w:val="24"/>
        </w:rPr>
        <w:t>centrally</w:t>
      </w:r>
      <w:r w:rsidRPr="00177D46">
        <w:rPr>
          <w:spacing w:val="-1"/>
          <w:sz w:val="24"/>
        </w:rPr>
        <w:t xml:space="preserve"> </w:t>
      </w:r>
      <w:r w:rsidRPr="00177D46">
        <w:rPr>
          <w:sz w:val="24"/>
        </w:rPr>
        <w:t>by</w:t>
      </w:r>
      <w:r w:rsidRPr="00177D46">
        <w:rPr>
          <w:spacing w:val="-1"/>
          <w:sz w:val="24"/>
        </w:rPr>
        <w:t xml:space="preserve"> </w:t>
      </w:r>
      <w:r w:rsidRPr="00177D46">
        <w:rPr>
          <w:sz w:val="24"/>
        </w:rPr>
        <w:t>the Council.</w:t>
      </w:r>
      <w:r w:rsidRPr="00177D46">
        <w:rPr>
          <w:spacing w:val="40"/>
          <w:sz w:val="24"/>
        </w:rPr>
        <w:t xml:space="preserve"> </w:t>
      </w:r>
      <w:r w:rsidRPr="00177D46">
        <w:rPr>
          <w:sz w:val="24"/>
        </w:rPr>
        <w:t>The budget for these costs has been removed from the Licensing Board budget for 202</w:t>
      </w:r>
      <w:r w:rsidR="00177D46" w:rsidRPr="00177D46">
        <w:rPr>
          <w:sz w:val="24"/>
        </w:rPr>
        <w:t>4</w:t>
      </w:r>
      <w:r w:rsidRPr="00177D46">
        <w:rPr>
          <w:sz w:val="24"/>
        </w:rPr>
        <w:t>/2</w:t>
      </w:r>
      <w:r w:rsidR="00177D46" w:rsidRPr="00177D46">
        <w:rPr>
          <w:sz w:val="24"/>
        </w:rPr>
        <w:t>5</w:t>
      </w:r>
      <w:r w:rsidRPr="00177D46">
        <w:rPr>
          <w:sz w:val="24"/>
        </w:rPr>
        <w:t>.</w:t>
      </w:r>
    </w:p>
    <w:p w14:paraId="7453C211" w14:textId="77777777" w:rsidR="00955147" w:rsidRPr="00177D46" w:rsidRDefault="00955147"/>
    <w:sectPr w:rsidR="00955147" w:rsidRPr="00177D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376F9C"/>
    <w:multiLevelType w:val="hybridMultilevel"/>
    <w:tmpl w:val="F4109D5C"/>
    <w:lvl w:ilvl="0" w:tplc="7D9A1A90">
      <w:start w:val="1"/>
      <w:numFmt w:val="decimal"/>
      <w:lvlText w:val="%1."/>
      <w:lvlJc w:val="left"/>
      <w:pPr>
        <w:ind w:left="887" w:hanging="360"/>
      </w:pPr>
      <w:rPr>
        <w:rFonts w:ascii="Arial" w:eastAsia="Arial" w:hAnsi="Arial" w:cs="Arial" w:hint="default"/>
        <w:b w:val="0"/>
        <w:bCs w:val="0"/>
        <w:i w:val="0"/>
        <w:iCs w:val="0"/>
        <w:w w:val="100"/>
        <w:sz w:val="24"/>
        <w:szCs w:val="24"/>
        <w:lang w:val="en-US" w:eastAsia="en-US" w:bidi="ar-SA"/>
      </w:rPr>
    </w:lvl>
    <w:lvl w:ilvl="1" w:tplc="8A8A2FD8">
      <w:numFmt w:val="bullet"/>
      <w:lvlText w:val="•"/>
      <w:lvlJc w:val="left"/>
      <w:pPr>
        <w:ind w:left="1734" w:hanging="360"/>
      </w:pPr>
      <w:rPr>
        <w:rFonts w:hint="default"/>
        <w:lang w:val="en-US" w:eastAsia="en-US" w:bidi="ar-SA"/>
      </w:rPr>
    </w:lvl>
    <w:lvl w:ilvl="2" w:tplc="F2425CCE">
      <w:numFmt w:val="bullet"/>
      <w:lvlText w:val="•"/>
      <w:lvlJc w:val="left"/>
      <w:pPr>
        <w:ind w:left="2589" w:hanging="360"/>
      </w:pPr>
      <w:rPr>
        <w:rFonts w:hint="default"/>
        <w:lang w:val="en-US" w:eastAsia="en-US" w:bidi="ar-SA"/>
      </w:rPr>
    </w:lvl>
    <w:lvl w:ilvl="3" w:tplc="D572093A">
      <w:numFmt w:val="bullet"/>
      <w:lvlText w:val="•"/>
      <w:lvlJc w:val="left"/>
      <w:pPr>
        <w:ind w:left="3443" w:hanging="360"/>
      </w:pPr>
      <w:rPr>
        <w:rFonts w:hint="default"/>
        <w:lang w:val="en-US" w:eastAsia="en-US" w:bidi="ar-SA"/>
      </w:rPr>
    </w:lvl>
    <w:lvl w:ilvl="4" w:tplc="73F85FAE">
      <w:numFmt w:val="bullet"/>
      <w:lvlText w:val="•"/>
      <w:lvlJc w:val="left"/>
      <w:pPr>
        <w:ind w:left="4298" w:hanging="360"/>
      </w:pPr>
      <w:rPr>
        <w:rFonts w:hint="default"/>
        <w:lang w:val="en-US" w:eastAsia="en-US" w:bidi="ar-SA"/>
      </w:rPr>
    </w:lvl>
    <w:lvl w:ilvl="5" w:tplc="01A68DA2">
      <w:numFmt w:val="bullet"/>
      <w:lvlText w:val="•"/>
      <w:lvlJc w:val="left"/>
      <w:pPr>
        <w:ind w:left="5153" w:hanging="360"/>
      </w:pPr>
      <w:rPr>
        <w:rFonts w:hint="default"/>
        <w:lang w:val="en-US" w:eastAsia="en-US" w:bidi="ar-SA"/>
      </w:rPr>
    </w:lvl>
    <w:lvl w:ilvl="6" w:tplc="E808F980">
      <w:numFmt w:val="bullet"/>
      <w:lvlText w:val="•"/>
      <w:lvlJc w:val="left"/>
      <w:pPr>
        <w:ind w:left="6007" w:hanging="360"/>
      </w:pPr>
      <w:rPr>
        <w:rFonts w:hint="default"/>
        <w:lang w:val="en-US" w:eastAsia="en-US" w:bidi="ar-SA"/>
      </w:rPr>
    </w:lvl>
    <w:lvl w:ilvl="7" w:tplc="31969A3A">
      <w:numFmt w:val="bullet"/>
      <w:lvlText w:val="•"/>
      <w:lvlJc w:val="left"/>
      <w:pPr>
        <w:ind w:left="6862" w:hanging="360"/>
      </w:pPr>
      <w:rPr>
        <w:rFonts w:hint="default"/>
        <w:lang w:val="en-US" w:eastAsia="en-US" w:bidi="ar-SA"/>
      </w:rPr>
    </w:lvl>
    <w:lvl w:ilvl="8" w:tplc="50D429AC">
      <w:numFmt w:val="bullet"/>
      <w:lvlText w:val="•"/>
      <w:lvlJc w:val="left"/>
      <w:pPr>
        <w:ind w:left="7717" w:hanging="360"/>
      </w:pPr>
      <w:rPr>
        <w:rFonts w:hint="default"/>
        <w:lang w:val="en-US" w:eastAsia="en-US" w:bidi="ar-SA"/>
      </w:rPr>
    </w:lvl>
  </w:abstractNum>
  <w:num w:numId="1" w16cid:durableId="1977221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800"/>
    <w:rsid w:val="00177D46"/>
    <w:rsid w:val="00720091"/>
    <w:rsid w:val="008F6233"/>
    <w:rsid w:val="00955147"/>
    <w:rsid w:val="00B278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E6E7D"/>
  <w15:chartTrackingRefBased/>
  <w15:docId w15:val="{049AF7E6-2566-4E72-B98D-705B6EED7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147"/>
    <w:pPr>
      <w:widowControl w:val="0"/>
      <w:autoSpaceDE w:val="0"/>
      <w:autoSpaceDN w:val="0"/>
      <w:spacing w:after="0" w:line="240" w:lineRule="auto"/>
    </w:pPr>
    <w:rPr>
      <w:rFonts w:ascii="Arial" w:eastAsia="Arial" w:hAnsi="Arial" w:cs="Arial"/>
      <w:kern w:val="0"/>
      <w:sz w:val="22"/>
      <w:szCs w:val="22"/>
      <w:lang w:val="en-US"/>
      <w14:ligatures w14:val="none"/>
    </w:rPr>
  </w:style>
  <w:style w:type="paragraph" w:styleId="Heading1">
    <w:name w:val="heading 1"/>
    <w:basedOn w:val="Normal"/>
    <w:next w:val="Normal"/>
    <w:link w:val="Heading1Char"/>
    <w:uiPriority w:val="9"/>
    <w:qFormat/>
    <w:rsid w:val="00B278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78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78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78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78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780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780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780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780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78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78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78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78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78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78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78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78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7800"/>
    <w:rPr>
      <w:rFonts w:eastAsiaTheme="majorEastAsia" w:cstheme="majorBidi"/>
      <w:color w:val="272727" w:themeColor="text1" w:themeTint="D8"/>
    </w:rPr>
  </w:style>
  <w:style w:type="paragraph" w:styleId="Title">
    <w:name w:val="Title"/>
    <w:basedOn w:val="Normal"/>
    <w:next w:val="Normal"/>
    <w:link w:val="TitleChar"/>
    <w:uiPriority w:val="10"/>
    <w:qFormat/>
    <w:rsid w:val="00B2780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78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78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78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7800"/>
    <w:pPr>
      <w:spacing w:before="160"/>
      <w:jc w:val="center"/>
    </w:pPr>
    <w:rPr>
      <w:i/>
      <w:iCs/>
      <w:color w:val="404040" w:themeColor="text1" w:themeTint="BF"/>
    </w:rPr>
  </w:style>
  <w:style w:type="character" w:customStyle="1" w:styleId="QuoteChar">
    <w:name w:val="Quote Char"/>
    <w:basedOn w:val="DefaultParagraphFont"/>
    <w:link w:val="Quote"/>
    <w:uiPriority w:val="29"/>
    <w:rsid w:val="00B27800"/>
    <w:rPr>
      <w:i/>
      <w:iCs/>
      <w:color w:val="404040" w:themeColor="text1" w:themeTint="BF"/>
    </w:rPr>
  </w:style>
  <w:style w:type="paragraph" w:styleId="ListParagraph">
    <w:name w:val="List Paragraph"/>
    <w:basedOn w:val="Normal"/>
    <w:qFormat/>
    <w:rsid w:val="00B27800"/>
    <w:pPr>
      <w:ind w:left="720"/>
      <w:contextualSpacing/>
    </w:pPr>
  </w:style>
  <w:style w:type="character" w:styleId="IntenseEmphasis">
    <w:name w:val="Intense Emphasis"/>
    <w:basedOn w:val="DefaultParagraphFont"/>
    <w:uiPriority w:val="21"/>
    <w:qFormat/>
    <w:rsid w:val="00B27800"/>
    <w:rPr>
      <w:i/>
      <w:iCs/>
      <w:color w:val="0F4761" w:themeColor="accent1" w:themeShade="BF"/>
    </w:rPr>
  </w:style>
  <w:style w:type="paragraph" w:styleId="IntenseQuote">
    <w:name w:val="Intense Quote"/>
    <w:basedOn w:val="Normal"/>
    <w:next w:val="Normal"/>
    <w:link w:val="IntenseQuoteChar"/>
    <w:uiPriority w:val="30"/>
    <w:qFormat/>
    <w:rsid w:val="00B278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7800"/>
    <w:rPr>
      <w:i/>
      <w:iCs/>
      <w:color w:val="0F4761" w:themeColor="accent1" w:themeShade="BF"/>
    </w:rPr>
  </w:style>
  <w:style w:type="character" w:styleId="IntenseReference">
    <w:name w:val="Intense Reference"/>
    <w:basedOn w:val="DefaultParagraphFont"/>
    <w:uiPriority w:val="32"/>
    <w:qFormat/>
    <w:rsid w:val="00B27800"/>
    <w:rPr>
      <w:b/>
      <w:bCs/>
      <w:smallCaps/>
      <w:color w:val="0F4761" w:themeColor="accent1" w:themeShade="BF"/>
      <w:spacing w:val="5"/>
    </w:rPr>
  </w:style>
  <w:style w:type="paragraph" w:styleId="BodyText">
    <w:name w:val="Body Text"/>
    <w:basedOn w:val="Normal"/>
    <w:link w:val="BodyTextChar"/>
    <w:uiPriority w:val="1"/>
    <w:qFormat/>
    <w:rsid w:val="00955147"/>
    <w:rPr>
      <w:sz w:val="24"/>
      <w:szCs w:val="24"/>
    </w:rPr>
  </w:style>
  <w:style w:type="character" w:customStyle="1" w:styleId="BodyTextChar">
    <w:name w:val="Body Text Char"/>
    <w:basedOn w:val="DefaultParagraphFont"/>
    <w:link w:val="BodyText"/>
    <w:uiPriority w:val="1"/>
    <w:rsid w:val="00955147"/>
    <w:rPr>
      <w:rFonts w:ascii="Arial" w:eastAsia="Arial" w:hAnsi="Arial" w:cs="Arial"/>
      <w:kern w:val="0"/>
      <w:lang w:val="en-US"/>
      <w14:ligatures w14:val="none"/>
    </w:rPr>
  </w:style>
  <w:style w:type="paragraph" w:customStyle="1" w:styleId="TableParagraph">
    <w:name w:val="Table Paragraph"/>
    <w:basedOn w:val="Normal"/>
    <w:uiPriority w:val="1"/>
    <w:qFormat/>
    <w:rsid w:val="00955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4" ma:contentTypeDescription="Create a new document." ma:contentTypeScope="" ma:versionID="a66ea1cbf89aba041e244a8e061c8114">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8dfaddc60f3ddc2dc1e3c08034c6241d"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igned" minOccurs="0"/>
                <xsd:element ref="ns2:ReporttoDTIB"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igned" ma:index="28" nillable="true" ma:displayName="Signed" ma:format="Dropdown" ma:internalName="Signed">
      <xsd:simpleType>
        <xsd:restriction base="dms:Choice">
          <xsd:enumeration value="Yes"/>
          <xsd:enumeration value="No"/>
          <xsd:enumeration value="project started before agreements"/>
          <xsd:enumeration value="project not started"/>
          <xsd:enumeration value="Digital"/>
          <xsd:enumeration value="Cancelled"/>
        </xsd:restriction>
      </xsd:simpleType>
    </xsd:element>
    <xsd:element name="ReporttoDTIB" ma:index="29" nillable="true" ma:displayName="Report to DTIB" ma:format="DateOnly" ma:internalName="ReporttoDTIB">
      <xsd:simpleType>
        <xsd:restriction base="dms:DateTime"/>
      </xsd:simpleType>
    </xsd:element>
    <xsd:element name="_Flow_SignoffStatus" ma:index="3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ReporttoDTIB xmlns="fc78463e-d5b0-4fd8-abb1-e1eb3572d92c" xsi:nil="true"/>
    <Info xmlns="fc78463e-d5b0-4fd8-abb1-e1eb3572d92c" xsi:nil="true"/>
    <Source xmlns="fc78463e-d5b0-4fd8-abb1-e1eb3572d92c" xsi:nil="true"/>
    <Signed xmlns="fc78463e-d5b0-4fd8-abb1-e1eb3572d92c" xsi:nil="true"/>
    <lcf76f155ced4ddcb4097134ff3c332f xmlns="fc78463e-d5b0-4fd8-abb1-e1eb3572d92c">
      <Terms xmlns="http://schemas.microsoft.com/office/infopath/2007/PartnerControls"/>
    </lcf76f155ced4ddcb4097134ff3c332f>
    <_Flow_SignoffStatus xmlns="fc78463e-d5b0-4fd8-abb1-e1eb3572d92c" xsi:nil="true"/>
  </documentManagement>
</p:properties>
</file>

<file path=customXml/itemProps1.xml><?xml version="1.0" encoding="utf-8"?>
<ds:datastoreItem xmlns:ds="http://schemas.openxmlformats.org/officeDocument/2006/customXml" ds:itemID="{808E7828-E07E-4743-908A-505A6FDD3CF5}"/>
</file>

<file path=customXml/itemProps2.xml><?xml version="1.0" encoding="utf-8"?>
<ds:datastoreItem xmlns:ds="http://schemas.openxmlformats.org/officeDocument/2006/customXml" ds:itemID="{E89B46E6-B76B-4D0B-9992-2D890F091EB3}"/>
</file>

<file path=customXml/itemProps3.xml><?xml version="1.0" encoding="utf-8"?>
<ds:datastoreItem xmlns:ds="http://schemas.openxmlformats.org/officeDocument/2006/customXml" ds:itemID="{9BA99E5F-9D57-48B9-9A16-EEC3429075CD}"/>
</file>

<file path=docProps/app.xml><?xml version="1.0" encoding="utf-8"?>
<Properties xmlns="http://schemas.openxmlformats.org/officeDocument/2006/extended-properties" xmlns:vt="http://schemas.openxmlformats.org/officeDocument/2006/docPropsVTypes">
  <Template>Normal</Template>
  <TotalTime>5</TotalTime>
  <Pages>2</Pages>
  <Words>352</Words>
  <Characters>2013</Characters>
  <Application>Microsoft Office Word</Application>
  <DocSecurity>0</DocSecurity>
  <Lines>16</Lines>
  <Paragraphs>4</Paragraphs>
  <ScaleCrop>false</ScaleCrop>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Mcgarva</dc:creator>
  <cp:keywords/>
  <dc:description/>
  <cp:lastModifiedBy>Bryan Douglas</cp:lastModifiedBy>
  <cp:revision>3</cp:revision>
  <dcterms:created xsi:type="dcterms:W3CDTF">2025-03-20T10:10:00Z</dcterms:created>
  <dcterms:modified xsi:type="dcterms:W3CDTF">2025-06-09T12:58:00Z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ies>
</file>